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left="160"/>
        <w:jc w:val="center"/>
        <w:rPr>
          <w:rFonts w:ascii="Times New Roman" w:hAnsi="Times New Roman" w:eastAsia="方正小标宋_GBK"/>
          <w:b/>
          <w:bCs/>
          <w:sz w:val="52"/>
          <w:szCs w:val="52"/>
        </w:rPr>
      </w:pPr>
    </w:p>
    <w:p>
      <w:pPr>
        <w:adjustRightInd w:val="0"/>
        <w:snapToGrid w:val="0"/>
        <w:spacing w:line="600" w:lineRule="exact"/>
        <w:ind w:left="160"/>
        <w:jc w:val="center"/>
        <w:rPr>
          <w:rFonts w:ascii="Times New Roman" w:hAnsi="Times New Roman" w:eastAsia="方正小标宋_GBK"/>
          <w:b/>
          <w:bCs/>
          <w:sz w:val="52"/>
          <w:szCs w:val="52"/>
        </w:rPr>
      </w:pPr>
      <w:r>
        <w:rPr>
          <w:rFonts w:ascii="Times New Roman" w:hAnsi="Times New Roman" w:eastAsia="方正小标宋_GBK"/>
          <w:b/>
          <w:bCs/>
          <w:sz w:val="52"/>
          <w:szCs w:val="52"/>
        </w:rPr>
        <w:t>中垦供应链管理有限公司</w:t>
      </w:r>
    </w:p>
    <w:p>
      <w:pPr>
        <w:adjustRightInd w:val="0"/>
        <w:snapToGrid w:val="0"/>
        <w:spacing w:line="600" w:lineRule="exact"/>
        <w:jc w:val="center"/>
        <w:rPr>
          <w:rFonts w:ascii="Times New Roman" w:hAnsi="Times New Roman" w:eastAsia="方正小标宋_GBK"/>
          <w:bCs/>
          <w:sz w:val="28"/>
          <w:szCs w:val="28"/>
        </w:rPr>
      </w:pPr>
      <w:r>
        <w:rPr>
          <w:rFonts w:ascii="Times New Roman" w:hAnsi="Times New Roman" w:eastAsia="方正小标宋_GBK"/>
          <w:bCs/>
          <w:sz w:val="28"/>
          <w:szCs w:val="28"/>
        </w:rPr>
        <w:t>项目名称：</w:t>
      </w:r>
      <w:r>
        <w:rPr>
          <w:rFonts w:hint="eastAsia" w:ascii="Times New Roman" w:hAnsi="Times New Roman" w:eastAsia="方正小标宋_GBK"/>
          <w:bCs/>
          <w:sz w:val="28"/>
          <w:szCs w:val="28"/>
          <w:lang w:eastAsia="zh-CN"/>
        </w:rPr>
        <w:t>陕西常低温一体电商标准仓</w:t>
      </w:r>
      <w:r>
        <w:rPr>
          <w:rFonts w:ascii="Times New Roman" w:hAnsi="Times New Roman" w:eastAsia="方正小标宋_GBK"/>
          <w:bCs/>
          <w:sz w:val="28"/>
          <w:szCs w:val="28"/>
        </w:rPr>
        <w:t>服务比选</w:t>
      </w:r>
    </w:p>
    <w:p>
      <w:pPr>
        <w:pStyle w:val="2"/>
      </w:pPr>
    </w:p>
    <w:p>
      <w:pPr>
        <w:adjustRightInd w:val="0"/>
        <w:snapToGrid w:val="0"/>
        <w:spacing w:line="600" w:lineRule="exact"/>
        <w:ind w:left="160"/>
        <w:jc w:val="center"/>
        <w:rPr>
          <w:rFonts w:hint="eastAsia" w:ascii="Times New Roman" w:hAnsi="Times New Roman" w:eastAsia="方正小标宋_GBK"/>
          <w:b/>
          <w:bCs/>
          <w:sz w:val="52"/>
          <w:szCs w:val="52"/>
        </w:rPr>
      </w:pPr>
      <w:r>
        <w:rPr>
          <w:rFonts w:hint="eastAsia" w:ascii="Times New Roman" w:hAnsi="Times New Roman" w:eastAsia="方正小标宋_GBK"/>
          <w:b/>
          <w:bCs/>
          <w:sz w:val="52"/>
          <w:szCs w:val="52"/>
        </w:rPr>
        <w:t>竞</w:t>
      </w:r>
    </w:p>
    <w:p>
      <w:pPr>
        <w:adjustRightInd w:val="0"/>
        <w:snapToGrid w:val="0"/>
        <w:spacing w:line="600" w:lineRule="exact"/>
        <w:ind w:left="160"/>
        <w:jc w:val="center"/>
        <w:rPr>
          <w:rFonts w:hint="eastAsia" w:ascii="Times New Roman" w:hAnsi="Times New Roman" w:eastAsia="方正小标宋_GBK"/>
          <w:b/>
          <w:bCs/>
          <w:sz w:val="52"/>
          <w:szCs w:val="52"/>
        </w:rPr>
      </w:pPr>
      <w:r>
        <w:rPr>
          <w:rFonts w:hint="eastAsia" w:ascii="Times New Roman" w:hAnsi="Times New Roman" w:eastAsia="方正小标宋_GBK"/>
          <w:b/>
          <w:bCs/>
          <w:sz w:val="52"/>
          <w:szCs w:val="52"/>
        </w:rPr>
        <w:t>争</w:t>
      </w:r>
    </w:p>
    <w:p>
      <w:pPr>
        <w:adjustRightInd w:val="0"/>
        <w:snapToGrid w:val="0"/>
        <w:spacing w:line="600" w:lineRule="exact"/>
        <w:ind w:left="160"/>
        <w:jc w:val="center"/>
        <w:rPr>
          <w:rFonts w:hint="eastAsia" w:ascii="Times New Roman" w:hAnsi="Times New Roman" w:eastAsia="方正小标宋_GBK"/>
          <w:b/>
          <w:bCs/>
          <w:sz w:val="52"/>
          <w:szCs w:val="52"/>
        </w:rPr>
      </w:pPr>
      <w:r>
        <w:rPr>
          <w:rFonts w:hint="eastAsia" w:ascii="Times New Roman" w:hAnsi="Times New Roman" w:eastAsia="方正小标宋_GBK"/>
          <w:b/>
          <w:bCs/>
          <w:sz w:val="52"/>
          <w:szCs w:val="52"/>
        </w:rPr>
        <w:t>性</w:t>
      </w:r>
    </w:p>
    <w:p>
      <w:pPr>
        <w:adjustRightInd w:val="0"/>
        <w:snapToGrid w:val="0"/>
        <w:spacing w:line="600" w:lineRule="exact"/>
        <w:ind w:left="160"/>
        <w:jc w:val="center"/>
        <w:rPr>
          <w:rFonts w:ascii="Times New Roman" w:hAnsi="Times New Roman" w:eastAsia="方正小标宋_GBK"/>
          <w:b/>
          <w:bCs/>
          <w:sz w:val="52"/>
          <w:szCs w:val="52"/>
        </w:rPr>
      </w:pPr>
      <w:r>
        <w:rPr>
          <w:rFonts w:ascii="Times New Roman" w:hAnsi="Times New Roman" w:eastAsia="方正小标宋_GBK"/>
          <w:b/>
          <w:bCs/>
          <w:sz w:val="52"/>
          <w:szCs w:val="52"/>
        </w:rPr>
        <w:t>比</w:t>
      </w:r>
    </w:p>
    <w:p>
      <w:pPr>
        <w:adjustRightInd w:val="0"/>
        <w:snapToGrid w:val="0"/>
        <w:spacing w:line="600" w:lineRule="exact"/>
        <w:ind w:left="160"/>
        <w:jc w:val="center"/>
        <w:rPr>
          <w:rFonts w:ascii="Times New Roman" w:hAnsi="Times New Roman" w:eastAsia="方正小标宋_GBK"/>
          <w:b/>
          <w:bCs/>
          <w:sz w:val="52"/>
          <w:szCs w:val="52"/>
        </w:rPr>
      </w:pPr>
      <w:r>
        <w:rPr>
          <w:rFonts w:ascii="Times New Roman" w:hAnsi="Times New Roman" w:eastAsia="方正小标宋_GBK"/>
          <w:b/>
          <w:bCs/>
          <w:sz w:val="52"/>
          <w:szCs w:val="52"/>
        </w:rPr>
        <w:t>选</w:t>
      </w:r>
    </w:p>
    <w:p>
      <w:pPr>
        <w:adjustRightInd w:val="0"/>
        <w:snapToGrid w:val="0"/>
        <w:spacing w:line="600" w:lineRule="exact"/>
        <w:ind w:left="160"/>
        <w:jc w:val="center"/>
        <w:rPr>
          <w:rFonts w:ascii="Times New Roman" w:hAnsi="Times New Roman" w:eastAsia="方正小标宋_GBK"/>
          <w:b/>
          <w:bCs/>
          <w:sz w:val="52"/>
          <w:szCs w:val="52"/>
        </w:rPr>
      </w:pPr>
      <w:r>
        <w:rPr>
          <w:rFonts w:ascii="Times New Roman" w:hAnsi="Times New Roman" w:eastAsia="方正小标宋_GBK"/>
          <w:b/>
          <w:bCs/>
          <w:sz w:val="52"/>
          <w:szCs w:val="52"/>
        </w:rPr>
        <w:t>文</w:t>
      </w:r>
    </w:p>
    <w:p>
      <w:pPr>
        <w:adjustRightInd w:val="0"/>
        <w:snapToGrid w:val="0"/>
        <w:spacing w:line="600" w:lineRule="exact"/>
        <w:ind w:left="160"/>
        <w:jc w:val="center"/>
        <w:rPr>
          <w:rFonts w:ascii="Times New Roman" w:hAnsi="Times New Roman" w:eastAsia="方正小标宋_GBK"/>
          <w:b/>
          <w:bCs/>
          <w:sz w:val="52"/>
          <w:szCs w:val="52"/>
        </w:rPr>
      </w:pPr>
      <w:r>
        <w:rPr>
          <w:rFonts w:ascii="Times New Roman" w:hAnsi="Times New Roman" w:eastAsia="方正小标宋_GBK"/>
          <w:b/>
          <w:bCs/>
          <w:sz w:val="52"/>
          <w:szCs w:val="52"/>
        </w:rPr>
        <w:t>件</w:t>
      </w:r>
    </w:p>
    <w:p>
      <w:pPr>
        <w:adjustRightInd w:val="0"/>
        <w:snapToGrid w:val="0"/>
        <w:spacing w:line="600" w:lineRule="exact"/>
        <w:ind w:left="160"/>
        <w:rPr>
          <w:rFonts w:ascii="Times New Roman" w:hAnsi="Times New Roman" w:eastAsia="黑体"/>
          <w:b/>
          <w:bCs/>
          <w:sz w:val="52"/>
          <w:szCs w:val="52"/>
        </w:rPr>
      </w:pPr>
    </w:p>
    <w:p>
      <w:pPr>
        <w:adjustRightInd w:val="0"/>
        <w:snapToGrid w:val="0"/>
        <w:spacing w:line="600" w:lineRule="exact"/>
        <w:ind w:left="160"/>
        <w:jc w:val="center"/>
        <w:rPr>
          <w:rFonts w:ascii="Times New Roman" w:hAnsi="Times New Roman" w:eastAsia="黑体"/>
          <w:b/>
          <w:bCs/>
          <w:sz w:val="18"/>
          <w:szCs w:val="18"/>
        </w:rPr>
      </w:pPr>
    </w:p>
    <w:p>
      <w:pPr>
        <w:adjustRightInd w:val="0"/>
        <w:snapToGrid w:val="0"/>
        <w:spacing w:line="600" w:lineRule="exact"/>
        <w:jc w:val="left"/>
        <w:rPr>
          <w:rFonts w:ascii="Times New Roman" w:hAnsi="Times New Roman" w:eastAsia="黑体"/>
          <w:b/>
          <w:bCs/>
          <w:sz w:val="32"/>
          <w:szCs w:val="32"/>
        </w:rPr>
      </w:pPr>
    </w:p>
    <w:p>
      <w:pPr>
        <w:adjustRightInd w:val="0"/>
        <w:snapToGrid w:val="0"/>
        <w:spacing w:line="600" w:lineRule="exact"/>
        <w:jc w:val="center"/>
        <w:rPr>
          <w:rFonts w:ascii="Times New Roman" w:hAnsi="Times New Roman" w:eastAsia="方正小标宋_GBK"/>
          <w:bCs/>
          <w:sz w:val="28"/>
          <w:szCs w:val="28"/>
        </w:rPr>
      </w:pPr>
      <w:r>
        <w:rPr>
          <w:rFonts w:hint="eastAsia" w:ascii="Times New Roman" w:hAnsi="Times New Roman" w:eastAsia="方正小标宋_GBK"/>
          <w:bCs/>
          <w:sz w:val="28"/>
          <w:szCs w:val="28"/>
        </w:rPr>
        <w:t>202</w:t>
      </w:r>
      <w:r>
        <w:rPr>
          <w:rFonts w:hint="eastAsia" w:ascii="Times New Roman" w:hAnsi="Times New Roman" w:eastAsia="方正小标宋_GBK"/>
          <w:bCs/>
          <w:sz w:val="28"/>
          <w:szCs w:val="28"/>
          <w:lang w:val="en-US" w:eastAsia="zh-CN"/>
        </w:rPr>
        <w:t>3</w:t>
      </w:r>
      <w:r>
        <w:rPr>
          <w:rFonts w:hint="eastAsia" w:ascii="Times New Roman" w:hAnsi="Times New Roman" w:eastAsia="方正小标宋_GBK"/>
          <w:bCs/>
          <w:sz w:val="28"/>
          <w:szCs w:val="28"/>
        </w:rPr>
        <w:t>年</w:t>
      </w:r>
      <w:r>
        <w:rPr>
          <w:rFonts w:hint="eastAsia" w:ascii="Times New Roman" w:hAnsi="Times New Roman" w:eastAsia="方正小标宋_GBK"/>
          <w:bCs/>
          <w:sz w:val="28"/>
          <w:szCs w:val="28"/>
          <w:lang w:val="en-US" w:eastAsia="zh-CN"/>
        </w:rPr>
        <w:t>2</w:t>
      </w:r>
      <w:r>
        <w:rPr>
          <w:rFonts w:hint="eastAsia" w:ascii="Times New Roman" w:hAnsi="Times New Roman" w:eastAsia="方正小标宋_GBK"/>
          <w:bCs/>
          <w:sz w:val="28"/>
          <w:szCs w:val="28"/>
        </w:rPr>
        <w:t>月</w:t>
      </w:r>
    </w:p>
    <w:p>
      <w:pPr>
        <w:adjustRightInd w:val="0"/>
        <w:snapToGrid w:val="0"/>
        <w:spacing w:line="600" w:lineRule="exact"/>
        <w:rPr>
          <w:rFonts w:ascii="Times New Roman" w:hAnsi="Times New Roman" w:eastAsia="方正小标宋_GBK"/>
          <w:bCs/>
          <w:sz w:val="28"/>
          <w:szCs w:val="28"/>
        </w:rPr>
      </w:pPr>
    </w:p>
    <w:p>
      <w:pPr>
        <w:pStyle w:val="2"/>
      </w:pPr>
    </w:p>
    <w:p>
      <w:pPr>
        <w:adjustRightInd w:val="0"/>
        <w:snapToGrid w:val="0"/>
        <w:spacing w:line="600" w:lineRule="exact"/>
        <w:jc w:val="left"/>
        <w:rPr>
          <w:rFonts w:ascii="Times New Roman" w:hAnsi="Times New Roman" w:eastAsia="黑体"/>
          <w:b/>
          <w:bCs/>
          <w:sz w:val="32"/>
          <w:szCs w:val="32"/>
        </w:rPr>
      </w:pPr>
    </w:p>
    <w:p>
      <w:pPr>
        <w:adjustRightInd w:val="0"/>
        <w:snapToGrid w:val="0"/>
        <w:spacing w:line="560" w:lineRule="atLeast"/>
        <w:ind w:firstLine="3200" w:firstLineChars="10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比选公告</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黑体_GBK"/>
          <w:sz w:val="28"/>
          <w:szCs w:val="28"/>
        </w:rPr>
      </w:pPr>
      <w:r>
        <w:rPr>
          <w:rFonts w:ascii="Times New Roman" w:hAnsi="Times New Roman" w:eastAsia="方正黑体_GBK"/>
          <w:sz w:val="28"/>
          <w:szCs w:val="28"/>
        </w:rPr>
        <w:t>一、比选项目实施单位</w:t>
      </w:r>
      <w:r>
        <w:rPr>
          <w:rFonts w:hint="eastAsia" w:ascii="Times New Roman" w:hAnsi="Times New Roman" w:eastAsia="方正黑体_GBK"/>
          <w:sz w:val="28"/>
          <w:szCs w:val="28"/>
        </w:rPr>
        <w:t>、联系人</w:t>
      </w:r>
      <w:r>
        <w:rPr>
          <w:rFonts w:ascii="Times New Roman" w:hAnsi="Times New Roman" w:eastAsia="方正黑体_GBK"/>
          <w:sz w:val="28"/>
          <w:szCs w:val="28"/>
        </w:rPr>
        <w:t>及地址</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仿宋_GBK"/>
          <w:sz w:val="28"/>
          <w:szCs w:val="28"/>
        </w:rPr>
      </w:pPr>
      <w:r>
        <w:rPr>
          <w:rFonts w:ascii="Times New Roman" w:hAnsi="Times New Roman" w:eastAsia="方正仿宋_GBK"/>
          <w:sz w:val="28"/>
          <w:szCs w:val="28"/>
        </w:rPr>
        <w:t>1、 比选单位：中垦供应链管理有限公司。</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仿宋_GBK"/>
          <w:sz w:val="28"/>
          <w:szCs w:val="28"/>
        </w:rPr>
      </w:pPr>
      <w:r>
        <w:rPr>
          <w:rFonts w:ascii="Times New Roman" w:hAnsi="Times New Roman" w:eastAsia="方正仿宋_GBK"/>
          <w:sz w:val="28"/>
          <w:szCs w:val="28"/>
        </w:rPr>
        <w:t>2、 公司地址：重庆市北部新区金渝大道85号汉国中心A座17楼。</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黑体_GBK"/>
          <w:sz w:val="28"/>
          <w:szCs w:val="28"/>
        </w:rPr>
      </w:pPr>
      <w:r>
        <w:rPr>
          <w:rFonts w:ascii="Times New Roman" w:hAnsi="Times New Roman" w:eastAsia="方正黑体_GBK"/>
          <w:sz w:val="28"/>
          <w:szCs w:val="28"/>
        </w:rPr>
        <w:t>二、项目</w:t>
      </w:r>
      <w:r>
        <w:rPr>
          <w:rFonts w:hint="eastAsia" w:ascii="Times New Roman" w:hAnsi="Times New Roman" w:eastAsia="方正黑体_GBK"/>
          <w:sz w:val="28"/>
          <w:szCs w:val="28"/>
        </w:rPr>
        <w:t>基本情况</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仿宋_GBK"/>
          <w:color w:val="auto"/>
          <w:sz w:val="28"/>
          <w:szCs w:val="28"/>
        </w:rPr>
      </w:pPr>
      <w:r>
        <w:rPr>
          <w:rFonts w:ascii="Times New Roman" w:hAnsi="Times New Roman" w:eastAsia="方正仿宋_GBK"/>
          <w:sz w:val="28"/>
          <w:szCs w:val="28"/>
        </w:rPr>
        <w:t>1、 比选项</w:t>
      </w:r>
      <w:r>
        <w:rPr>
          <w:rFonts w:ascii="Times New Roman" w:hAnsi="Times New Roman" w:eastAsia="方正仿宋_GBK"/>
          <w:color w:val="auto"/>
          <w:sz w:val="28"/>
          <w:szCs w:val="28"/>
        </w:rPr>
        <w:t>目名称：</w:t>
      </w:r>
      <w:r>
        <w:rPr>
          <w:rFonts w:hint="eastAsia" w:ascii="Times New Roman" w:hAnsi="Times New Roman" w:eastAsia="方正小标宋_GBK"/>
          <w:bCs/>
          <w:color w:val="auto"/>
          <w:sz w:val="28"/>
          <w:szCs w:val="28"/>
          <w:lang w:eastAsia="zh-CN"/>
        </w:rPr>
        <w:t>陕西常低温一体电商标准仓</w:t>
      </w:r>
      <w:r>
        <w:rPr>
          <w:rFonts w:ascii="Times New Roman" w:hAnsi="Times New Roman" w:eastAsia="方正仿宋_GBK"/>
          <w:color w:val="auto"/>
          <w:sz w:val="28"/>
          <w:szCs w:val="28"/>
        </w:rPr>
        <w:t>服务比选</w:t>
      </w:r>
      <w:r>
        <w:rPr>
          <w:rFonts w:hint="eastAsia" w:ascii="Times New Roman" w:hAnsi="Times New Roman" w:eastAsia="方正仿宋_GBK"/>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仿宋_GBK"/>
          <w:color w:val="auto"/>
          <w:sz w:val="28"/>
          <w:szCs w:val="28"/>
        </w:rPr>
      </w:pPr>
      <w:r>
        <w:rPr>
          <w:rFonts w:ascii="Times New Roman" w:hAnsi="Times New Roman" w:eastAsia="方正仿宋_GBK"/>
          <w:color w:val="auto"/>
          <w:sz w:val="28"/>
          <w:szCs w:val="28"/>
        </w:rPr>
        <w:t xml:space="preserve">2、 </w:t>
      </w:r>
      <w:r>
        <w:rPr>
          <w:rFonts w:hint="eastAsia" w:ascii="Times New Roman" w:hAnsi="Times New Roman" w:eastAsia="方正仿宋_GBK"/>
          <w:color w:val="auto"/>
          <w:sz w:val="28"/>
          <w:szCs w:val="28"/>
        </w:rPr>
        <w:t>项目主要内容</w:t>
      </w:r>
      <w:r>
        <w:rPr>
          <w:rFonts w:ascii="Times New Roman" w:hAnsi="Times New Roman" w:eastAsia="方正仿宋_GBK"/>
          <w:color w:val="auto"/>
          <w:sz w:val="28"/>
          <w:szCs w:val="28"/>
        </w:rPr>
        <w:t>：用于</w:t>
      </w:r>
      <w:r>
        <w:rPr>
          <w:rFonts w:hint="eastAsia" w:ascii="Times New Roman" w:hAnsi="Times New Roman" w:eastAsia="方正仿宋_GBK"/>
          <w:color w:val="auto"/>
          <w:sz w:val="28"/>
          <w:szCs w:val="28"/>
        </w:rPr>
        <w:t>产品</w:t>
      </w:r>
      <w:r>
        <w:rPr>
          <w:rFonts w:hint="eastAsia" w:ascii="Times New Roman" w:hAnsi="Times New Roman" w:eastAsia="方正仿宋_GBK"/>
          <w:color w:val="auto"/>
          <w:sz w:val="28"/>
          <w:szCs w:val="28"/>
          <w:lang w:val="en-US" w:eastAsia="zh-CN"/>
        </w:rPr>
        <w:t>常低温</w:t>
      </w:r>
      <w:r>
        <w:rPr>
          <w:rFonts w:hint="eastAsia" w:ascii="Times New Roman" w:hAnsi="Times New Roman" w:eastAsia="方正仿宋_GBK"/>
          <w:color w:val="auto"/>
          <w:sz w:val="28"/>
          <w:szCs w:val="28"/>
        </w:rPr>
        <w:t>仓配一体服务，包含</w:t>
      </w:r>
      <w:r>
        <w:rPr>
          <w:rFonts w:hint="eastAsia" w:ascii="Times New Roman" w:hAnsi="Times New Roman" w:eastAsia="方正仿宋_GBK"/>
          <w:color w:val="auto"/>
          <w:sz w:val="28"/>
          <w:szCs w:val="28"/>
          <w:lang w:val="en-US" w:eastAsia="zh-CN"/>
        </w:rPr>
        <w:t>到货统一</w:t>
      </w:r>
      <w:r>
        <w:rPr>
          <w:rFonts w:hint="eastAsia" w:ascii="Times New Roman" w:hAnsi="Times New Roman" w:eastAsia="方正仿宋_GBK"/>
          <w:color w:val="auto"/>
          <w:sz w:val="28"/>
          <w:szCs w:val="28"/>
        </w:rPr>
        <w:t>卸货、分拣、打包、配送等仓储物流业务及其他所需增值服务</w:t>
      </w:r>
      <w:r>
        <w:rPr>
          <w:rFonts w:ascii="Times New Roman" w:hAnsi="Times New Roman" w:eastAsia="方正仿宋_GBK"/>
          <w:color w:val="auto"/>
          <w:sz w:val="28"/>
          <w:szCs w:val="28"/>
        </w:rPr>
        <w:t>。</w:t>
      </w:r>
      <w:r>
        <w:rPr>
          <w:rFonts w:hint="eastAsia" w:ascii="Times New Roman" w:hAnsi="Times New Roman" w:eastAsia="方正仿宋_GBK"/>
          <w:color w:val="auto"/>
          <w:sz w:val="28"/>
          <w:szCs w:val="28"/>
        </w:rPr>
        <w:t>项目预计日均单量</w:t>
      </w:r>
      <w:r>
        <w:rPr>
          <w:rFonts w:hint="eastAsia" w:ascii="Times New Roman" w:hAnsi="Times New Roman" w:eastAsia="方正仿宋_GBK"/>
          <w:color w:val="auto"/>
          <w:sz w:val="28"/>
          <w:szCs w:val="28"/>
          <w:lang w:val="en-US" w:eastAsia="zh-CN"/>
        </w:rPr>
        <w:t>900-1000</w:t>
      </w:r>
      <w:r>
        <w:rPr>
          <w:rFonts w:hint="eastAsia" w:ascii="Times New Roman" w:hAnsi="Times New Roman" w:eastAsia="方正仿宋_GBK"/>
          <w:color w:val="auto"/>
          <w:sz w:val="28"/>
          <w:szCs w:val="28"/>
        </w:rPr>
        <w:t>单，以实际入库发货数量为准。</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仿宋_GBK"/>
          <w:sz w:val="28"/>
          <w:szCs w:val="28"/>
        </w:rPr>
      </w:pPr>
      <w:r>
        <w:rPr>
          <w:rFonts w:hint="eastAsia" w:ascii="Times New Roman" w:hAnsi="Times New Roman" w:eastAsia="方正仿宋_GBK"/>
          <w:color w:val="auto"/>
          <w:sz w:val="28"/>
          <w:szCs w:val="28"/>
          <w:lang w:val="en-US" w:eastAsia="zh-CN"/>
        </w:rPr>
        <w:t>3</w:t>
      </w:r>
      <w:r>
        <w:rPr>
          <w:rFonts w:ascii="Times New Roman" w:hAnsi="Times New Roman" w:eastAsia="方正仿宋_GBK"/>
          <w:color w:val="auto"/>
          <w:sz w:val="28"/>
          <w:szCs w:val="28"/>
        </w:rPr>
        <w:t>、</w:t>
      </w:r>
      <w:r>
        <w:rPr>
          <w:rFonts w:hint="eastAsia" w:ascii="Times New Roman" w:hAnsi="Times New Roman" w:eastAsia="方正仿宋_GBK"/>
          <w:color w:val="auto"/>
          <w:sz w:val="28"/>
          <w:szCs w:val="28"/>
        </w:rPr>
        <w:t>服务周期</w:t>
      </w:r>
      <w:r>
        <w:rPr>
          <w:rFonts w:ascii="Times New Roman" w:hAnsi="Times New Roman" w:eastAsia="方正仿宋_GBK"/>
          <w:color w:val="auto"/>
          <w:sz w:val="28"/>
          <w:szCs w:val="28"/>
        </w:rPr>
        <w:t>：合</w:t>
      </w:r>
      <w:r>
        <w:rPr>
          <w:rFonts w:hint="eastAsia" w:ascii="Times New Roman" w:hAnsi="Times New Roman" w:eastAsia="方正仿宋_GBK"/>
          <w:color w:val="auto"/>
          <w:sz w:val="28"/>
          <w:szCs w:val="28"/>
        </w:rPr>
        <w:t>同</w:t>
      </w:r>
      <w:r>
        <w:rPr>
          <w:rFonts w:ascii="Times New Roman" w:hAnsi="Times New Roman" w:eastAsia="方正仿宋_GBK"/>
          <w:color w:val="auto"/>
          <w:sz w:val="28"/>
          <w:szCs w:val="28"/>
        </w:rPr>
        <w:t>签订后</w:t>
      </w:r>
      <w:r>
        <w:rPr>
          <w:rFonts w:hint="eastAsia" w:ascii="Times New Roman" w:hAnsi="Times New Roman" w:eastAsia="方正仿宋_GBK"/>
          <w:color w:val="auto"/>
          <w:sz w:val="28"/>
          <w:szCs w:val="28"/>
        </w:rPr>
        <w:t>1</w:t>
      </w:r>
      <w:r>
        <w:rPr>
          <w:rFonts w:ascii="Times New Roman" w:hAnsi="Times New Roman" w:eastAsia="方正仿宋_GBK"/>
          <w:color w:val="auto"/>
          <w:sz w:val="28"/>
          <w:szCs w:val="28"/>
        </w:rPr>
        <w:t>年</w:t>
      </w:r>
      <w:r>
        <w:rPr>
          <w:rFonts w:hint="eastAsia" w:ascii="Times New Roman" w:hAnsi="Times New Roman" w:eastAsia="方正仿宋_GBK"/>
          <w:color w:val="auto"/>
          <w:sz w:val="28"/>
          <w:szCs w:val="28"/>
          <w:lang w:eastAsia="zh-CN"/>
        </w:rPr>
        <w:t>。</w:t>
      </w:r>
      <w:r>
        <w:rPr>
          <w:rFonts w:ascii="Times New Roman" w:hAnsi="Times New Roman" w:eastAsia="方正仿宋_GBK"/>
          <w:color w:val="auto"/>
          <w:sz w:val="28"/>
          <w:szCs w:val="28"/>
        </w:rPr>
        <w:t>按照</w:t>
      </w:r>
      <w:r>
        <w:rPr>
          <w:rFonts w:hint="eastAsia" w:ascii="Times New Roman" w:hAnsi="Times New Roman" w:eastAsia="方正仿宋_GBK"/>
          <w:color w:val="auto"/>
          <w:sz w:val="28"/>
          <w:szCs w:val="28"/>
        </w:rPr>
        <w:t>合同</w:t>
      </w:r>
      <w:r>
        <w:rPr>
          <w:rFonts w:ascii="Times New Roman" w:hAnsi="Times New Roman" w:eastAsia="方正仿宋_GBK"/>
          <w:sz w:val="28"/>
          <w:szCs w:val="28"/>
        </w:rPr>
        <w:t>实际</w:t>
      </w:r>
      <w:r>
        <w:rPr>
          <w:rFonts w:hint="eastAsia" w:ascii="Times New Roman" w:hAnsi="Times New Roman" w:eastAsia="方正仿宋_GBK"/>
          <w:sz w:val="28"/>
          <w:szCs w:val="28"/>
        </w:rPr>
        <w:t>约定时间为准。</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黑体_GBK"/>
          <w:sz w:val="28"/>
          <w:szCs w:val="28"/>
        </w:rPr>
      </w:pPr>
      <w:r>
        <w:rPr>
          <w:rFonts w:ascii="Times New Roman" w:hAnsi="Times New Roman" w:eastAsia="方正黑体_GBK"/>
          <w:sz w:val="28"/>
          <w:szCs w:val="28"/>
        </w:rPr>
        <w:t>三、</w:t>
      </w:r>
      <w:r>
        <w:rPr>
          <w:rFonts w:hint="eastAsia" w:ascii="Times New Roman" w:hAnsi="Times New Roman" w:eastAsia="方正黑体_GBK"/>
          <w:sz w:val="28"/>
          <w:szCs w:val="28"/>
        </w:rPr>
        <w:t>投标人</w:t>
      </w:r>
      <w:r>
        <w:rPr>
          <w:rFonts w:ascii="Times New Roman" w:hAnsi="Times New Roman" w:eastAsia="方正黑体_GBK"/>
          <w:sz w:val="28"/>
          <w:szCs w:val="28"/>
        </w:rPr>
        <w:t xml:space="preserve">资格要求 </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hint="eastAsia" w:ascii="Times New Roman" w:hAnsi="Times New Roman" w:eastAsia="方正仿宋_GBK"/>
          <w:sz w:val="28"/>
          <w:szCs w:val="28"/>
        </w:rPr>
      </w:pPr>
      <w:r>
        <w:rPr>
          <w:rFonts w:hint="eastAsia" w:ascii="Times New Roman" w:hAnsi="Times New Roman" w:eastAsia="方正仿宋_GBK"/>
          <w:sz w:val="28"/>
          <w:szCs w:val="28"/>
        </w:rPr>
        <w:t>1、投标人</w:t>
      </w:r>
      <w:r>
        <w:rPr>
          <w:rFonts w:ascii="Times New Roman" w:hAnsi="Times New Roman" w:eastAsia="方正仿宋_GBK"/>
          <w:sz w:val="28"/>
          <w:szCs w:val="28"/>
        </w:rPr>
        <w:t>应为中华人民共和国境内合法注册并具有独立法人资格的法人及其他组织；法定代表人（及股东）为同一个人的两个及两个以上法人、母公司、全资子公司及其他控股公司都不得同时提请资料</w:t>
      </w:r>
      <w:r>
        <w:rPr>
          <w:rFonts w:hint="eastAsia" w:ascii="Times New Roman" w:hAnsi="Times New Roman" w:eastAsia="方正仿宋_GBK"/>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hint="eastAsia" w:ascii="Times New Roman" w:hAnsi="Times New Roman" w:eastAsia="方正仿宋_GBK"/>
          <w:sz w:val="28"/>
          <w:szCs w:val="28"/>
        </w:rPr>
      </w:pPr>
      <w:r>
        <w:rPr>
          <w:rFonts w:hint="eastAsia" w:ascii="Times New Roman" w:hAnsi="Times New Roman" w:eastAsia="方正仿宋_GBK"/>
          <w:sz w:val="28"/>
          <w:szCs w:val="28"/>
        </w:rPr>
        <w:t>2、本项目不接受多家单位联合报价，不允许分包或转包。</w:t>
      </w:r>
    </w:p>
    <w:p>
      <w:pPr>
        <w:pStyle w:val="2"/>
        <w:keepNext w:val="0"/>
        <w:keepLines w:val="0"/>
        <w:pageBreakBefore w:val="0"/>
        <w:widowControl w:val="0"/>
        <w:kinsoku/>
        <w:wordWrap/>
        <w:overflowPunct/>
        <w:topLinePunct w:val="0"/>
        <w:autoSpaceDE/>
        <w:autoSpaceDN/>
        <w:bidi w:val="0"/>
        <w:spacing w:before="20" w:after="0" w:line="520" w:lineRule="atLeast"/>
        <w:ind w:firstLine="560" w:firstLineChars="200"/>
        <w:textAlignment w:val="auto"/>
        <w:rPr>
          <w:rFonts w:eastAsia="方正仿宋_GBK"/>
          <w:color w:val="auto"/>
        </w:rPr>
      </w:pPr>
      <w:r>
        <w:rPr>
          <w:rFonts w:hint="eastAsia" w:ascii="Times New Roman" w:hAnsi="Times New Roman" w:eastAsia="方正仿宋_GBK"/>
          <w:sz w:val="28"/>
          <w:szCs w:val="28"/>
        </w:rPr>
        <w:t>3、投标人</w:t>
      </w:r>
      <w:r>
        <w:rPr>
          <w:rFonts w:hint="eastAsia" w:ascii="Times New Roman" w:hAnsi="Times New Roman" w:eastAsia="方正仿宋_GBK"/>
          <w:color w:val="auto"/>
          <w:sz w:val="28"/>
          <w:szCs w:val="28"/>
          <w:u w:val="none"/>
          <w:lang w:val="en-US" w:eastAsia="zh-CN"/>
        </w:rPr>
        <w:t>提供盖章版营业执照复印件中</w:t>
      </w:r>
      <w:r>
        <w:rPr>
          <w:rFonts w:hint="eastAsia" w:ascii="Times New Roman" w:hAnsi="Times New Roman" w:eastAsia="方正仿宋_GBK"/>
          <w:color w:val="auto"/>
          <w:sz w:val="28"/>
          <w:szCs w:val="28"/>
        </w:rPr>
        <w:t>经营范围应包含仓储服务、包装材料及制品销售等项目所需资质</w:t>
      </w:r>
      <w:r>
        <w:rPr>
          <w:rFonts w:hint="eastAsia" w:ascii="Times New Roman" w:hAnsi="Times New Roman" w:eastAsia="方正仿宋_GBK"/>
          <w:color w:val="auto"/>
          <w:sz w:val="28"/>
          <w:szCs w:val="28"/>
          <w:lang w:eastAsia="zh-CN"/>
        </w:rPr>
        <w:t>（</w:t>
      </w:r>
      <w:r>
        <w:rPr>
          <w:rFonts w:hint="eastAsia" w:ascii="Times New Roman" w:hAnsi="Times New Roman" w:eastAsia="方正仿宋_GBK"/>
          <w:color w:val="auto"/>
          <w:sz w:val="28"/>
          <w:szCs w:val="28"/>
          <w:lang w:val="en-US" w:eastAsia="zh-CN"/>
        </w:rPr>
        <w:t>如无包装材料及制品销售资质可出具承诺函承诺在中标通知送达后，合同签订前完成增项）</w:t>
      </w:r>
      <w:r>
        <w:rPr>
          <w:rFonts w:hint="eastAsia" w:ascii="Times New Roman" w:hAnsi="Times New Roman" w:eastAsia="方正仿宋_GBK"/>
          <w:color w:val="auto"/>
          <w:sz w:val="28"/>
          <w:szCs w:val="28"/>
        </w:rPr>
        <w:t>，并在</w:t>
      </w:r>
      <w:r>
        <w:rPr>
          <w:rFonts w:hint="eastAsia" w:ascii="Times New Roman" w:hAnsi="Times New Roman" w:eastAsia="方正仿宋_GBK"/>
          <w:color w:val="auto"/>
          <w:sz w:val="28"/>
          <w:szCs w:val="28"/>
          <w:lang w:val="en-US" w:eastAsia="zh-CN"/>
        </w:rPr>
        <w:t>陕西省</w:t>
      </w:r>
      <w:r>
        <w:rPr>
          <w:rFonts w:hint="eastAsia" w:ascii="Times New Roman" w:hAnsi="Times New Roman" w:eastAsia="方正仿宋_GBK"/>
          <w:color w:val="auto"/>
          <w:sz w:val="28"/>
          <w:szCs w:val="28"/>
        </w:rPr>
        <w:t>内有具备</w:t>
      </w:r>
      <w:r>
        <w:rPr>
          <w:rFonts w:hint="eastAsia" w:ascii="Times New Roman" w:hAnsi="Times New Roman" w:eastAsia="方正仿宋_GBK"/>
          <w:color w:val="auto"/>
          <w:sz w:val="28"/>
          <w:szCs w:val="28"/>
          <w:lang w:val="en-US" w:eastAsia="zh-CN"/>
        </w:rPr>
        <w:t>常低温</w:t>
      </w:r>
      <w:r>
        <w:rPr>
          <w:rFonts w:hint="eastAsia" w:ascii="Times New Roman" w:hAnsi="Times New Roman" w:eastAsia="方正仿宋_GBK"/>
          <w:color w:val="auto"/>
          <w:sz w:val="28"/>
          <w:szCs w:val="28"/>
        </w:rPr>
        <w:t>电商仓配一体服务</w:t>
      </w:r>
      <w:r>
        <w:rPr>
          <w:rFonts w:hint="eastAsia" w:ascii="Times New Roman" w:hAnsi="Times New Roman" w:eastAsia="方正仿宋_GBK"/>
          <w:color w:val="auto"/>
          <w:sz w:val="28"/>
          <w:szCs w:val="28"/>
          <w:lang w:eastAsia="zh-CN"/>
        </w:rPr>
        <w:t>、</w:t>
      </w:r>
      <w:r>
        <w:rPr>
          <w:rFonts w:hint="eastAsia" w:ascii="Times New Roman" w:hAnsi="Times New Roman" w:eastAsia="方正仿宋_GBK"/>
          <w:color w:val="auto"/>
          <w:sz w:val="28"/>
          <w:szCs w:val="28"/>
          <w:lang w:val="en-US" w:eastAsia="zh-CN"/>
        </w:rPr>
        <w:t>库存、装卸统一处理、可对接旺店通旗舰版WMS系统</w:t>
      </w:r>
      <w:r>
        <w:rPr>
          <w:rFonts w:hint="eastAsia" w:ascii="Times New Roman" w:hAnsi="Times New Roman" w:eastAsia="方正仿宋_GBK"/>
          <w:color w:val="auto"/>
          <w:sz w:val="28"/>
          <w:szCs w:val="28"/>
        </w:rPr>
        <w:t>的库房</w:t>
      </w:r>
      <w:r>
        <w:rPr>
          <w:rFonts w:hint="eastAsia" w:ascii="Times New Roman" w:hAnsi="Times New Roman" w:eastAsia="方正仿宋_GBK"/>
          <w:color w:val="auto"/>
          <w:sz w:val="28"/>
          <w:szCs w:val="28"/>
          <w:lang w:val="en-US" w:eastAsia="zh-CN"/>
        </w:rPr>
        <w:t>；</w:t>
      </w:r>
      <w:r>
        <w:rPr>
          <w:rFonts w:hint="eastAsia" w:ascii="方正仿宋_GBK" w:hAnsi="方正仿宋_GBK" w:eastAsia="方正仿宋_GBK" w:cs="方正仿宋_GBK"/>
          <w:color w:val="auto"/>
          <w:kern w:val="0"/>
          <w:sz w:val="28"/>
          <w:szCs w:val="28"/>
          <w:highlight w:val="none"/>
          <w:lang w:val="en-US" w:eastAsia="zh-CN" w:bidi="ar"/>
        </w:rPr>
        <w:t>常温仓库</w:t>
      </w:r>
      <w:r>
        <w:rPr>
          <w:rFonts w:hint="eastAsia" w:ascii="方正仿宋_GBK" w:hAnsi="方正仿宋_GBK" w:eastAsia="方正仿宋_GBK" w:cs="方正仿宋_GBK"/>
          <w:color w:val="auto"/>
          <w:kern w:val="0"/>
          <w:sz w:val="28"/>
          <w:szCs w:val="28"/>
          <w:highlight w:val="none"/>
          <w:lang w:bidi="ar"/>
        </w:rPr>
        <w:t>可使用面积</w:t>
      </w:r>
      <w:r>
        <w:rPr>
          <w:rStyle w:val="8"/>
          <w:rFonts w:hint="default"/>
          <w:color w:val="auto"/>
          <w:sz w:val="28"/>
          <w:szCs w:val="28"/>
          <w:highlight w:val="none"/>
          <w:lang w:bidi="ar"/>
        </w:rPr>
        <w:t>最低要求</w:t>
      </w:r>
      <w:r>
        <w:rPr>
          <w:rStyle w:val="8"/>
          <w:rFonts w:hint="eastAsia" w:eastAsia="方正仿宋_GBK"/>
          <w:color w:val="auto"/>
          <w:sz w:val="28"/>
          <w:szCs w:val="28"/>
          <w:highlight w:val="none"/>
          <w:lang w:val="en-US" w:eastAsia="zh-CN" w:bidi="ar"/>
        </w:rPr>
        <w:t>300</w:t>
      </w:r>
      <w:r>
        <w:rPr>
          <w:rStyle w:val="8"/>
          <w:rFonts w:hint="default"/>
          <w:color w:val="auto"/>
          <w:sz w:val="28"/>
          <w:szCs w:val="28"/>
          <w:highlight w:val="none"/>
          <w:lang w:bidi="ar"/>
        </w:rPr>
        <w:t>平方</w:t>
      </w:r>
      <w:r>
        <w:rPr>
          <w:rStyle w:val="8"/>
          <w:color w:val="auto"/>
          <w:sz w:val="28"/>
          <w:szCs w:val="28"/>
          <w:highlight w:val="none"/>
          <w:lang w:bidi="ar"/>
        </w:rPr>
        <w:t>米</w:t>
      </w:r>
      <w:r>
        <w:rPr>
          <w:rStyle w:val="8"/>
          <w:rFonts w:hint="default"/>
          <w:color w:val="auto"/>
          <w:sz w:val="28"/>
          <w:szCs w:val="28"/>
          <w:highlight w:val="none"/>
          <w:lang w:bidi="ar"/>
        </w:rPr>
        <w:t>，</w:t>
      </w:r>
      <w:r>
        <w:rPr>
          <w:rStyle w:val="8"/>
          <w:rFonts w:hint="eastAsia" w:eastAsia="方正仿宋_GBK"/>
          <w:color w:val="auto"/>
          <w:sz w:val="28"/>
          <w:szCs w:val="28"/>
          <w:highlight w:val="none"/>
          <w:lang w:val="en-US" w:eastAsia="zh-CN" w:bidi="ar"/>
        </w:rPr>
        <w:t>低温仓库可使用面积最低要求30平方米</w:t>
      </w:r>
      <w:r>
        <w:rPr>
          <w:rStyle w:val="8"/>
          <w:rFonts w:hint="default"/>
          <w:color w:val="auto"/>
          <w:sz w:val="28"/>
          <w:szCs w:val="28"/>
          <w:highlight w:val="none"/>
          <w:lang w:bidi="ar"/>
        </w:rPr>
        <w:t>（需</w:t>
      </w:r>
      <w:r>
        <w:rPr>
          <w:rStyle w:val="8"/>
          <w:rFonts w:hint="eastAsia" w:eastAsia="方正仿宋_GBK"/>
          <w:color w:val="auto"/>
          <w:sz w:val="28"/>
          <w:szCs w:val="28"/>
          <w:highlight w:val="none"/>
          <w:lang w:val="en-US" w:eastAsia="zh-CN" w:bidi="ar"/>
        </w:rPr>
        <w:t>在比选文件中承诺并</w:t>
      </w:r>
      <w:r>
        <w:rPr>
          <w:rStyle w:val="8"/>
          <w:rFonts w:hint="default"/>
          <w:color w:val="auto"/>
          <w:sz w:val="28"/>
          <w:szCs w:val="28"/>
          <w:highlight w:val="none"/>
          <w:lang w:bidi="ar"/>
        </w:rPr>
        <w:t>提供</w:t>
      </w:r>
      <w:r>
        <w:rPr>
          <w:rStyle w:val="8"/>
          <w:rFonts w:hint="eastAsia" w:eastAsia="方正仿宋_GBK"/>
          <w:color w:val="auto"/>
          <w:sz w:val="28"/>
          <w:szCs w:val="28"/>
          <w:highlight w:val="none"/>
          <w:lang w:val="en-US" w:eastAsia="zh-CN" w:bidi="ar"/>
        </w:rPr>
        <w:t>最小可</w:t>
      </w:r>
      <w:r>
        <w:rPr>
          <w:rStyle w:val="8"/>
          <w:rFonts w:hint="default"/>
          <w:color w:val="auto"/>
          <w:sz w:val="28"/>
          <w:szCs w:val="28"/>
          <w:highlight w:val="none"/>
          <w:lang w:bidi="ar"/>
        </w:rPr>
        <w:t>使用面积</w:t>
      </w:r>
      <w:r>
        <w:rPr>
          <w:rStyle w:val="8"/>
          <w:rFonts w:hint="eastAsia" w:eastAsia="方正仿宋_GBK"/>
          <w:color w:val="auto"/>
          <w:sz w:val="28"/>
          <w:szCs w:val="28"/>
          <w:highlight w:val="none"/>
          <w:lang w:eastAsia="zh-CN" w:bidi="ar"/>
        </w:rPr>
        <w:t>）</w:t>
      </w:r>
      <w:r>
        <w:rPr>
          <w:rStyle w:val="8"/>
          <w:rFonts w:hint="eastAsia" w:eastAsia="方正仿宋_GBK"/>
          <w:color w:val="auto"/>
          <w:sz w:val="28"/>
          <w:szCs w:val="28"/>
          <w:highlight w:val="none"/>
          <w:lang w:val="en-US" w:eastAsia="zh-CN" w:bidi="ar"/>
        </w:rPr>
        <w:t>；</w:t>
      </w:r>
      <w:r>
        <w:rPr>
          <w:rFonts w:hint="eastAsia" w:ascii="Times New Roman" w:hAnsi="Times New Roman" w:eastAsia="方正仿宋_GBK"/>
          <w:color w:val="auto"/>
          <w:sz w:val="28"/>
          <w:szCs w:val="28"/>
          <w:lang w:val="en-US" w:eastAsia="zh-CN"/>
        </w:rPr>
        <w:t>投标人常温仓必须具备</w:t>
      </w:r>
      <w:r>
        <w:rPr>
          <w:rFonts w:hint="eastAsia" w:ascii="Times New Roman" w:hAnsi="Times New Roman" w:eastAsia="方正仿宋_GBK"/>
          <w:color w:val="auto"/>
          <w:sz w:val="28"/>
          <w:szCs w:val="28"/>
          <w:highlight w:val="none"/>
          <w:lang w:val="en-US" w:eastAsia="zh-CN"/>
        </w:rPr>
        <w:t>顺丰标快、中</w:t>
      </w:r>
      <w:r>
        <w:rPr>
          <w:rFonts w:hint="eastAsia" w:ascii="Times New Roman" w:hAnsi="Times New Roman" w:eastAsia="方正仿宋_GBK"/>
          <w:color w:val="auto"/>
          <w:sz w:val="28"/>
          <w:szCs w:val="28"/>
          <w:lang w:val="en-US" w:eastAsia="zh-CN"/>
        </w:rPr>
        <w:t>通及圆通、韵达发货能力，低温仓必需具备顺丰标快、顺丰冷运发货能力；如合同签订后，投标人因自身原因无法提供上述任一指定快递，或因新增业务或业务形态变化产生的费用，由双方协商决定，若双方未协商一致，我方有权解除合同</w:t>
      </w:r>
      <w:r>
        <w:rPr>
          <w:rFonts w:hint="eastAsia" w:ascii="Times New Roman" w:hAnsi="Times New Roman" w:eastAsia="方正仿宋_GBK"/>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仿宋_GBK"/>
          <w:sz w:val="28"/>
          <w:szCs w:val="28"/>
        </w:rPr>
      </w:pPr>
      <w:r>
        <w:rPr>
          <w:rFonts w:hint="eastAsia" w:ascii="Times New Roman" w:hAnsi="Times New Roman" w:eastAsia="方正仿宋_GBK"/>
          <w:sz w:val="28"/>
          <w:szCs w:val="28"/>
        </w:rPr>
        <w:t>4、</w:t>
      </w:r>
      <w:r>
        <w:rPr>
          <w:rFonts w:hint="eastAsia" w:ascii="方正仿宋_GBK" w:hAnsi="方正仿宋_GBK" w:eastAsia="方正仿宋_GBK" w:cs="方正仿宋_GBK"/>
          <w:sz w:val="28"/>
          <w:szCs w:val="28"/>
          <w:lang w:val="en-US" w:eastAsia="zh-CN"/>
        </w:rPr>
        <w:t>投标人需提供专业征信网站（如天眼查）等出具的征信报告 ，证明</w:t>
      </w:r>
      <w:r>
        <w:rPr>
          <w:rFonts w:ascii="Times New Roman" w:hAnsi="Times New Roman" w:eastAsia="方正仿宋_GBK"/>
          <w:sz w:val="28"/>
          <w:szCs w:val="28"/>
        </w:rPr>
        <w:t>具有良好的银行资信和企业信誉，没有处于被责令停业、财产被接管、冻结、破产或其他关、停、并、转状态</w:t>
      </w:r>
      <w:r>
        <w:rPr>
          <w:rFonts w:hint="eastAsia" w:ascii="Times New Roman" w:hAnsi="Times New Roman" w:eastAsia="方正仿宋_GBK"/>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仿宋_GBK"/>
          <w:color w:val="auto"/>
          <w:sz w:val="28"/>
          <w:szCs w:val="28"/>
        </w:rPr>
      </w:pPr>
      <w:r>
        <w:rPr>
          <w:rFonts w:hint="eastAsia" w:ascii="Times New Roman" w:hAnsi="Times New Roman" w:eastAsia="方正仿宋_GBK"/>
          <w:sz w:val="28"/>
          <w:szCs w:val="28"/>
        </w:rPr>
        <w:t>5、</w:t>
      </w:r>
      <w:r>
        <w:rPr>
          <w:rFonts w:ascii="Times New Roman" w:hAnsi="Times New Roman" w:eastAsia="方正仿宋_GBK"/>
          <w:sz w:val="28"/>
          <w:szCs w:val="28"/>
        </w:rPr>
        <w:t>三年内未发生过重大安全事故</w:t>
      </w:r>
      <w:r>
        <w:rPr>
          <w:rFonts w:hint="eastAsia" w:ascii="Times New Roman" w:hAnsi="Times New Roman" w:eastAsia="方正仿宋_GBK"/>
          <w:sz w:val="28"/>
          <w:szCs w:val="28"/>
          <w:lang w:eastAsia="zh-CN"/>
        </w:rPr>
        <w:t>，</w:t>
      </w:r>
      <w:r>
        <w:rPr>
          <w:rFonts w:hint="eastAsia" w:ascii="Times New Roman" w:hAnsi="Times New Roman" w:eastAsia="方正仿宋_GBK"/>
          <w:sz w:val="28"/>
          <w:szCs w:val="28"/>
          <w:lang w:val="en-US" w:eastAsia="zh-CN"/>
        </w:rPr>
        <w:t>需提供承诺函；</w:t>
      </w:r>
      <w:r>
        <w:rPr>
          <w:rFonts w:hint="eastAsia" w:ascii="Times New Roman" w:hAnsi="Times New Roman" w:eastAsia="方正仿宋_GBK"/>
          <w:color w:val="auto"/>
          <w:sz w:val="28"/>
          <w:szCs w:val="28"/>
          <w:lang w:val="en-US" w:eastAsia="zh-CN"/>
        </w:rPr>
        <w:t>公司主体为仓库在库货品购买保险，需提供保险单等相关证明</w:t>
      </w:r>
      <w:r>
        <w:rPr>
          <w:rFonts w:ascii="Times New Roman" w:hAnsi="Times New Roman" w:eastAsia="方正仿宋_GBK"/>
          <w:color w:val="auto"/>
          <w:sz w:val="28"/>
          <w:szCs w:val="28"/>
        </w:rPr>
        <w:t>。</w:t>
      </w:r>
    </w:p>
    <w:p>
      <w:pPr>
        <w:adjustRightInd w:val="0"/>
        <w:spacing w:line="520" w:lineRule="atLeast"/>
        <w:ind w:firstLine="560" w:firstLineChars="200"/>
        <w:jc w:val="left"/>
        <w:rPr>
          <w:rFonts w:hint="default" w:eastAsia="方正仿宋_GBK"/>
          <w:lang w:val="en-US" w:eastAsia="zh-CN"/>
        </w:rPr>
      </w:pPr>
      <w:r>
        <w:rPr>
          <w:rFonts w:hint="eastAsia" w:ascii="Times New Roman" w:hAnsi="Times New Roman" w:eastAsia="方正仿宋_GBK"/>
          <w:color w:val="auto"/>
          <w:sz w:val="28"/>
          <w:szCs w:val="28"/>
          <w:lang w:val="en-US" w:eastAsia="zh-CN"/>
        </w:rPr>
        <w:t>6、投标人提交比选文件中如无法证明具备上述相关资质，则不具备比选资质。</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黑体_GBK"/>
          <w:sz w:val="28"/>
          <w:szCs w:val="28"/>
        </w:rPr>
      </w:pPr>
      <w:r>
        <w:rPr>
          <w:rFonts w:ascii="Times New Roman" w:hAnsi="Times New Roman" w:eastAsia="方正黑体_GBK"/>
          <w:sz w:val="28"/>
          <w:szCs w:val="28"/>
        </w:rPr>
        <w:t>四、</w:t>
      </w:r>
      <w:r>
        <w:rPr>
          <w:rFonts w:hint="eastAsia" w:ascii="Times New Roman" w:hAnsi="Times New Roman" w:eastAsia="方正黑体_GBK"/>
          <w:sz w:val="28"/>
          <w:szCs w:val="28"/>
        </w:rPr>
        <w:t xml:space="preserve">采购文件发布方式    </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sz w:val="28"/>
          <w:szCs w:val="28"/>
        </w:rPr>
        <w:t>采购文件将</w:t>
      </w:r>
      <w:r>
        <w:rPr>
          <w:rFonts w:hint="eastAsia" w:ascii="方正仿宋_GBK" w:hAnsi="方正仿宋_GBK" w:eastAsia="方正仿宋_GBK" w:cs="方正仿宋_GBK"/>
          <w:color w:val="auto"/>
          <w:sz w:val="28"/>
          <w:szCs w:val="28"/>
        </w:rPr>
        <w:t>于</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lang w:val="en-US" w:eastAsia="zh-CN"/>
        </w:rPr>
        <w:t>27</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日在中垦供应链官网：</w:t>
      </w:r>
      <w:r>
        <w:rPr>
          <w:rFonts w:hint="eastAsia" w:ascii="方正仿宋_GBK" w:hAnsi="方正仿宋_GBK" w:eastAsia="方正仿宋_GBK" w:cs="方正仿宋_GBK"/>
          <w:color w:val="auto"/>
          <w:sz w:val="28"/>
          <w:szCs w:val="28"/>
        </w:rPr>
        <w:fldChar w:fldCharType="begin"/>
      </w:r>
      <w:r>
        <w:rPr>
          <w:rFonts w:hint="eastAsia" w:ascii="方正仿宋_GBK" w:hAnsi="方正仿宋_GBK" w:eastAsia="方正仿宋_GBK" w:cs="方正仿宋_GBK"/>
          <w:color w:val="auto"/>
          <w:sz w:val="28"/>
          <w:szCs w:val="28"/>
        </w:rPr>
        <w:instrText xml:space="preserve"> HYPERLINK "http://www.csfscm.com/、" </w:instrText>
      </w:r>
      <w:r>
        <w:rPr>
          <w:rFonts w:hint="eastAsia" w:ascii="方正仿宋_GBK" w:hAnsi="方正仿宋_GBK" w:eastAsia="方正仿宋_GBK" w:cs="方正仿宋_GBK"/>
          <w:color w:val="auto"/>
          <w:sz w:val="28"/>
          <w:szCs w:val="28"/>
        </w:rPr>
        <w:fldChar w:fldCharType="separate"/>
      </w:r>
      <w:r>
        <w:rPr>
          <w:rStyle w:val="7"/>
          <w:rFonts w:hint="eastAsia" w:ascii="方正仿宋_GBK" w:hAnsi="方正仿宋_GBK" w:eastAsia="方正仿宋_GBK" w:cs="方正仿宋_GBK"/>
          <w:color w:val="auto"/>
          <w:sz w:val="28"/>
          <w:szCs w:val="28"/>
        </w:rPr>
        <w:t>http://www.csfscm.com/</w:t>
      </w:r>
      <w:r>
        <w:rPr>
          <w:rFonts w:hint="eastAsia" w:ascii="方正仿宋_GBK" w:hAnsi="方正仿宋_GBK" w:eastAsia="方正仿宋_GBK" w:cs="方正仿宋_GBK"/>
          <w:color w:val="auto"/>
          <w:sz w:val="28"/>
          <w:szCs w:val="28"/>
        </w:rPr>
        <w:fldChar w:fldCharType="end"/>
      </w:r>
      <w:r>
        <w:rPr>
          <w:rFonts w:hint="eastAsia" w:ascii="方正仿宋_GBK" w:hAnsi="方正仿宋_GBK" w:eastAsia="方正仿宋_GBK" w:cs="方正仿宋_GBK"/>
          <w:color w:val="auto"/>
          <w:sz w:val="28"/>
          <w:szCs w:val="28"/>
        </w:rPr>
        <w:t>进行公示。</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ascii="Times New Roman" w:hAnsi="Times New Roman" w:eastAsia="方正黑体_GBK"/>
          <w:color w:val="auto"/>
          <w:sz w:val="28"/>
          <w:szCs w:val="28"/>
        </w:rPr>
      </w:pPr>
      <w:r>
        <w:rPr>
          <w:rFonts w:hint="eastAsia" w:ascii="Times New Roman" w:hAnsi="Times New Roman" w:eastAsia="方正黑体_GBK"/>
          <w:color w:val="auto"/>
          <w:sz w:val="28"/>
          <w:szCs w:val="28"/>
        </w:rPr>
        <w:t>五、</w:t>
      </w:r>
      <w:r>
        <w:rPr>
          <w:rFonts w:ascii="Times New Roman" w:hAnsi="Times New Roman" w:eastAsia="方正黑体_GBK"/>
          <w:color w:val="auto"/>
          <w:sz w:val="28"/>
          <w:szCs w:val="28"/>
        </w:rPr>
        <w:t>投标文件</w:t>
      </w:r>
      <w:r>
        <w:rPr>
          <w:rFonts w:hint="eastAsia" w:ascii="Times New Roman" w:hAnsi="Times New Roman" w:eastAsia="方正黑体_GBK"/>
          <w:color w:val="auto"/>
          <w:sz w:val="28"/>
          <w:szCs w:val="28"/>
        </w:rPr>
        <w:t>递交时间及方式</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1.比选文件递交截止时间： 202</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 xml:space="preserve"> 年 </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lang w:val="en-US" w:eastAsia="zh-CN"/>
        </w:rPr>
        <w:t>8</w:t>
      </w:r>
      <w:r>
        <w:rPr>
          <w:rFonts w:hint="eastAsia" w:ascii="方正仿宋_GBK" w:hAnsi="方正仿宋_GBK" w:eastAsia="方正仿宋_GBK" w:cs="方正仿宋_GBK"/>
          <w:color w:val="auto"/>
          <w:sz w:val="28"/>
          <w:szCs w:val="28"/>
        </w:rPr>
        <w:t>日16:00（北京时间）</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2.比选文件递交方式：比选文件需装订成册、加盖公章密封后</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征信报告与重大事故安全承诺函不需密封）</w:t>
      </w:r>
      <w:r>
        <w:rPr>
          <w:rFonts w:hint="eastAsia" w:ascii="方正仿宋_GBK" w:hAnsi="方正仿宋_GBK" w:eastAsia="方正仿宋_GBK" w:cs="方正仿宋_GBK"/>
          <w:color w:val="auto"/>
          <w:sz w:val="28"/>
          <w:szCs w:val="28"/>
        </w:rPr>
        <w:t>，现场递交或封装邮寄（仅接受顺丰速递</w:t>
      </w:r>
      <w:r>
        <w:rPr>
          <w:rFonts w:hint="eastAsia" w:ascii="方正仿宋_GBK" w:hAnsi="方正仿宋_GBK" w:eastAsia="方正仿宋_GBK" w:cs="方正仿宋_GBK"/>
          <w:color w:val="auto"/>
          <w:sz w:val="28"/>
          <w:szCs w:val="28"/>
          <w:lang w:val="en-US" w:eastAsia="zh-CN"/>
        </w:rPr>
        <w:t>寄付</w:t>
      </w:r>
      <w:r>
        <w:rPr>
          <w:rFonts w:hint="eastAsia" w:ascii="方正仿宋_GBK" w:hAnsi="方正仿宋_GBK" w:eastAsia="方正仿宋_GBK" w:cs="方正仿宋_GBK"/>
          <w:color w:val="auto"/>
          <w:sz w:val="28"/>
          <w:szCs w:val="28"/>
        </w:rPr>
        <w:t>）。逾期送达的或者未送达指定地点的比选文件，我司不予受理。</w:t>
      </w:r>
    </w:p>
    <w:p>
      <w:pPr>
        <w:keepNext w:val="0"/>
        <w:keepLines w:val="0"/>
        <w:pageBreakBefore w:val="0"/>
        <w:widowControl w:val="0"/>
        <w:kinsoku/>
        <w:wordWrap/>
        <w:overflowPunct/>
        <w:topLinePunct w:val="0"/>
        <w:autoSpaceDE/>
        <w:autoSpaceDN/>
        <w:bidi w:val="0"/>
        <w:adjustRightInd w:val="0"/>
        <w:snapToGrid w:val="0"/>
        <w:spacing w:line="520" w:lineRule="atLeast"/>
        <w:ind w:left="559" w:leftChars="266" w:firstLine="0" w:firstLineChars="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3.寄送地址：重庆市渝北区金渝大道85号汉国中心A座17楼   </w:t>
      </w:r>
      <w:r>
        <w:rPr>
          <w:rFonts w:hint="eastAsia" w:ascii="方正仿宋_GBK" w:hAnsi="方正仿宋_GBK" w:eastAsia="方正仿宋_GBK" w:cs="方正仿宋_GBK"/>
          <w:color w:val="auto"/>
          <w:sz w:val="28"/>
          <w:szCs w:val="28"/>
          <w:lang w:val="en-US" w:eastAsia="zh-CN"/>
        </w:rPr>
        <w:t>收件人：</w:t>
      </w:r>
      <w:r>
        <w:rPr>
          <w:rFonts w:hint="eastAsia" w:ascii="方正仿宋_GBK" w:hAnsi="方正仿宋_GBK" w:eastAsia="方正仿宋_GBK" w:cs="方正仿宋_GBK"/>
          <w:color w:val="auto"/>
          <w:sz w:val="28"/>
          <w:szCs w:val="28"/>
        </w:rPr>
        <w:t>毕明遐</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联系电话</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13983820661</w:t>
      </w:r>
    </w:p>
    <w:p>
      <w:pPr>
        <w:keepNext w:val="0"/>
        <w:keepLines w:val="0"/>
        <w:pageBreakBefore w:val="0"/>
        <w:widowControl w:val="0"/>
        <w:tabs>
          <w:tab w:val="center" w:pos="4153"/>
          <w:tab w:val="right" w:pos="8306"/>
        </w:tabs>
        <w:kinsoku/>
        <w:wordWrap/>
        <w:overflowPunct/>
        <w:topLinePunct w:val="0"/>
        <w:autoSpaceDE/>
        <w:autoSpaceDN/>
        <w:bidi w:val="0"/>
        <w:adjustRightInd w:val="0"/>
        <w:spacing w:line="520" w:lineRule="atLeast"/>
        <w:ind w:firstLine="560" w:firstLineChars="200"/>
        <w:jc w:val="left"/>
        <w:textAlignment w:val="auto"/>
        <w:rPr>
          <w:rFonts w:hint="eastAsia" w:ascii="Times New Roman" w:hAnsi="Times New Roman" w:eastAsia="方正黑体_GBK"/>
          <w:color w:val="auto"/>
          <w:sz w:val="28"/>
          <w:szCs w:val="28"/>
        </w:rPr>
      </w:pPr>
      <w:r>
        <w:rPr>
          <w:rFonts w:hint="eastAsia" w:ascii="Times New Roman" w:hAnsi="Times New Roman" w:eastAsia="方正黑体_GBK"/>
          <w:color w:val="auto"/>
          <w:sz w:val="28"/>
          <w:szCs w:val="28"/>
        </w:rPr>
        <w:t>六、评审流程</w:t>
      </w:r>
    </w:p>
    <w:p>
      <w:pPr>
        <w:pStyle w:val="2"/>
        <w:keepNext w:val="0"/>
        <w:keepLines w:val="0"/>
        <w:pageBreakBefore w:val="0"/>
        <w:widowControl w:val="0"/>
        <w:kinsoku/>
        <w:wordWrap/>
        <w:overflowPunct/>
        <w:topLinePunct w:val="0"/>
        <w:autoSpaceDE/>
        <w:autoSpaceDN/>
        <w:bidi w:val="0"/>
        <w:spacing w:before="0" w:after="0" w:line="520" w:lineRule="atLeas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1.资格审查：202</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lang w:val="en-US" w:eastAsia="zh-CN"/>
        </w:rPr>
        <w:t>10</w:t>
      </w:r>
      <w:r>
        <w:rPr>
          <w:rFonts w:hint="eastAsia" w:ascii="方正仿宋_GBK" w:hAnsi="方正仿宋_GBK" w:eastAsia="方正仿宋_GBK" w:cs="方正仿宋_GBK"/>
          <w:color w:val="auto"/>
          <w:sz w:val="28"/>
          <w:szCs w:val="28"/>
        </w:rPr>
        <w:t>日17:00前完成对所有参与比选公司的资质审查，筛选出符合项目条件的仓库供应商，进行现场考察。</w:t>
      </w:r>
    </w:p>
    <w:p>
      <w:pPr>
        <w:keepNext w:val="0"/>
        <w:keepLines w:val="0"/>
        <w:pageBreakBefore w:val="0"/>
        <w:widowControl w:val="0"/>
        <w:kinsoku/>
        <w:wordWrap/>
        <w:overflowPunct/>
        <w:topLinePunct w:val="0"/>
        <w:autoSpaceDE/>
        <w:autoSpaceDN/>
        <w:bidi w:val="0"/>
        <w:spacing w:line="520" w:lineRule="atLeast"/>
        <w:ind w:firstLine="560" w:firstLineChars="200"/>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sz w:val="28"/>
          <w:szCs w:val="28"/>
        </w:rPr>
        <w:t>2.现场考察：202</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lang w:val="en-US" w:eastAsia="zh-CN"/>
        </w:rPr>
        <w:t>17</w:t>
      </w:r>
      <w:r>
        <w:rPr>
          <w:rFonts w:hint="eastAsia" w:ascii="方正仿宋_GBK" w:hAnsi="方正仿宋_GBK" w:eastAsia="方正仿宋_GBK" w:cs="方正仿宋_GBK"/>
          <w:color w:val="auto"/>
          <w:sz w:val="28"/>
          <w:szCs w:val="28"/>
        </w:rPr>
        <w:t>日17:00前完成对通过资质审查公司的仓库现场考察工作，并进行现场考察评分。</w:t>
      </w:r>
    </w:p>
    <w:p>
      <w:pPr>
        <w:keepNext w:val="0"/>
        <w:keepLines w:val="0"/>
        <w:pageBreakBefore w:val="0"/>
        <w:widowControl w:val="0"/>
        <w:tabs>
          <w:tab w:val="center" w:pos="4153"/>
          <w:tab w:val="right" w:pos="8306"/>
        </w:tabs>
        <w:kinsoku/>
        <w:wordWrap/>
        <w:overflowPunct/>
        <w:topLinePunct w:val="0"/>
        <w:autoSpaceDE/>
        <w:autoSpaceDN/>
        <w:bidi w:val="0"/>
        <w:adjustRightInd w:val="0"/>
        <w:spacing w:line="520" w:lineRule="atLeast"/>
        <w:ind w:firstLine="560" w:firstLineChars="200"/>
        <w:jc w:val="left"/>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auto"/>
          <w:sz w:val="28"/>
          <w:szCs w:val="28"/>
        </w:rPr>
        <w:t>3.投标文件评审：202</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lang w:val="en-US" w:eastAsia="zh-CN"/>
        </w:rPr>
        <w:t>20</w:t>
      </w:r>
      <w:r>
        <w:rPr>
          <w:rFonts w:hint="eastAsia" w:ascii="方正仿宋_GBK" w:hAnsi="方正仿宋_GBK" w:eastAsia="方正仿宋_GBK" w:cs="方正仿宋_GBK"/>
          <w:color w:val="auto"/>
          <w:sz w:val="28"/>
          <w:szCs w:val="28"/>
        </w:rPr>
        <w:t>日09:30（北京时间）于重庆市北部新区金渝大道85号汉国中心A座17楼会议室开展评审。</w:t>
      </w:r>
    </w:p>
    <w:p>
      <w:pPr>
        <w:pStyle w:val="2"/>
        <w:spacing w:before="0" w:after="0" w:line="520" w:lineRule="atLeast"/>
        <w:ind w:firstLine="560" w:firstLineChars="200"/>
      </w:pPr>
      <w:r>
        <w:rPr>
          <w:rFonts w:hint="eastAsia" w:ascii="方正仿宋_GBK" w:hAnsi="方正仿宋_GBK" w:eastAsia="方正仿宋_GBK" w:cs="方正仿宋_GBK"/>
          <w:sz w:val="28"/>
          <w:szCs w:val="28"/>
        </w:rPr>
        <w:t>项目联系人及联系方式：毕明遐 13983820661</w:t>
      </w:r>
    </w:p>
    <w:p>
      <w:pPr>
        <w:adjustRightInd w:val="0"/>
        <w:snapToGrid w:val="0"/>
        <w:spacing w:line="600" w:lineRule="exact"/>
        <w:jc w:val="center"/>
        <w:rPr>
          <w:rFonts w:hint="eastAsia" w:ascii="方正仿宋_GBK" w:hAnsi="方正仿宋_GBK" w:eastAsia="方正仿宋_GBK" w:cs="方正仿宋_GBK"/>
          <w:sz w:val="28"/>
          <w:szCs w:val="28"/>
        </w:rPr>
      </w:pPr>
      <w:bookmarkStart w:id="0" w:name="_Toc54852712"/>
      <w:r>
        <w:rPr>
          <w:rFonts w:hint="eastAsia" w:ascii="方正仿宋_GBK" w:hAnsi="方正仿宋_GBK" w:eastAsia="方正仿宋_GBK" w:cs="方正仿宋_GBK"/>
          <w:b/>
          <w:bCs/>
          <w:sz w:val="28"/>
          <w:szCs w:val="28"/>
        </w:rPr>
        <w:t>第二章  投标人须知</w:t>
      </w:r>
      <w:bookmarkEnd w:id="0"/>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592"/>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序号</w:t>
            </w:r>
          </w:p>
        </w:tc>
        <w:tc>
          <w:tcPr>
            <w:tcW w:w="934" w:type="pct"/>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内容</w:t>
            </w:r>
          </w:p>
        </w:tc>
        <w:tc>
          <w:tcPr>
            <w:tcW w:w="3602" w:type="pct"/>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63"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934"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项目名称</w:t>
            </w:r>
          </w:p>
        </w:tc>
        <w:tc>
          <w:tcPr>
            <w:tcW w:w="3602" w:type="pct"/>
            <w:noWrap w:val="0"/>
            <w:vAlign w:val="center"/>
          </w:tcPr>
          <w:p>
            <w:pPr>
              <w:spacing w:line="44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陕西常低温一体电商标准仓</w:t>
            </w:r>
            <w:r>
              <w:rPr>
                <w:rFonts w:hint="eastAsia" w:ascii="方正仿宋_GBK" w:hAnsi="方正仿宋_GBK" w:eastAsia="方正仿宋_GBK" w:cs="方正仿宋_GBK"/>
                <w:sz w:val="24"/>
                <w:szCs w:val="24"/>
              </w:rPr>
              <w:t>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934"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比选单位</w:t>
            </w:r>
          </w:p>
        </w:tc>
        <w:tc>
          <w:tcPr>
            <w:tcW w:w="3602" w:type="pct"/>
            <w:noWrap w:val="0"/>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中垦供应链管理有限公司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934"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项目地址</w:t>
            </w:r>
          </w:p>
        </w:tc>
        <w:tc>
          <w:tcPr>
            <w:tcW w:w="3602" w:type="pct"/>
            <w:noWrap w:val="0"/>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重庆市渝北区金渝大道85号汉国中心A座17楼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934" w:type="pct"/>
            <w:noWrap w:val="0"/>
            <w:vAlign w:val="center"/>
          </w:tcPr>
          <w:p>
            <w:pPr>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服务周期</w:t>
            </w:r>
          </w:p>
        </w:tc>
        <w:tc>
          <w:tcPr>
            <w:tcW w:w="3602" w:type="pct"/>
            <w:noWrap w:val="0"/>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合同签订之日起</w:t>
            </w:r>
            <w:r>
              <w:rPr>
                <w:rFonts w:hint="eastAsia" w:ascii="方正仿宋_GBK" w:hAnsi="方正仿宋_GBK" w:eastAsia="方正仿宋_GBK" w:cs="方正仿宋_GBK"/>
                <w:sz w:val="24"/>
                <w:szCs w:val="24"/>
              </w:rPr>
              <w:t>1年（根据实际合同</w:t>
            </w:r>
            <w:r>
              <w:rPr>
                <w:rFonts w:hint="eastAsia" w:ascii="方正仿宋_GBK" w:hAnsi="方正仿宋_GBK" w:eastAsia="方正仿宋_GBK" w:cs="方正仿宋_GBK"/>
                <w:sz w:val="24"/>
                <w:szCs w:val="24"/>
                <w:lang w:val="en-US" w:eastAsia="zh-CN"/>
              </w:rPr>
              <w:t>实际约定</w:t>
            </w:r>
            <w:r>
              <w:rPr>
                <w:rFonts w:hint="eastAsia" w:ascii="方正仿宋_GBK" w:hAnsi="方正仿宋_GBK" w:eastAsia="方正仿宋_GBK" w:cs="方正仿宋_GBK"/>
                <w:sz w:val="24"/>
                <w:szCs w:val="24"/>
              </w:rPr>
              <w:t>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934"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服务要求</w:t>
            </w:r>
          </w:p>
        </w:tc>
        <w:tc>
          <w:tcPr>
            <w:tcW w:w="3602" w:type="pct"/>
            <w:noWrap w:val="0"/>
            <w:vAlign w:val="center"/>
          </w:tcPr>
          <w:p>
            <w:pPr>
              <w:jc w:val="left"/>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具备</w:t>
            </w:r>
            <w:r>
              <w:rPr>
                <w:rFonts w:hint="eastAsia" w:ascii="方正仿宋_GBK" w:hAnsi="方正仿宋_GBK" w:eastAsia="方正仿宋_GBK" w:cs="方正仿宋_GBK"/>
                <w:color w:val="auto"/>
                <w:sz w:val="24"/>
                <w:szCs w:val="24"/>
                <w:lang w:val="en-US" w:eastAsia="zh-CN"/>
              </w:rPr>
              <w:t>常低温</w:t>
            </w:r>
            <w:r>
              <w:rPr>
                <w:rFonts w:hint="eastAsia" w:ascii="方正仿宋_GBK" w:hAnsi="方正仿宋_GBK" w:eastAsia="方正仿宋_GBK" w:cs="方正仿宋_GBK"/>
                <w:color w:val="auto"/>
                <w:sz w:val="24"/>
                <w:szCs w:val="24"/>
              </w:rPr>
              <w:t>仓配一体及其他增值服务能力，具体要求以合同为准。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p>
        </w:tc>
        <w:tc>
          <w:tcPr>
            <w:tcW w:w="934" w:type="pct"/>
            <w:noWrap w:val="0"/>
            <w:vAlign w:val="center"/>
          </w:tcPr>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比选项目</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内容及数量</w:t>
            </w:r>
          </w:p>
        </w:tc>
        <w:tc>
          <w:tcPr>
            <w:tcW w:w="3602" w:type="pct"/>
            <w:noWrap w:val="0"/>
            <w:vAlign w:val="center"/>
          </w:tcPr>
          <w:p>
            <w:pPr>
              <w:spacing w:line="440" w:lineRule="exact"/>
              <w:jc w:val="lef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用于</w:t>
            </w:r>
            <w:r>
              <w:rPr>
                <w:rFonts w:hint="eastAsia" w:ascii="方正仿宋_GBK" w:hAnsi="方正仿宋_GBK" w:eastAsia="方正仿宋_GBK" w:cs="方正仿宋_GBK"/>
                <w:color w:val="auto"/>
                <w:sz w:val="24"/>
                <w:szCs w:val="24"/>
                <w:lang w:val="en-US" w:eastAsia="zh-CN"/>
              </w:rPr>
              <w:t>常低温</w:t>
            </w:r>
            <w:r>
              <w:rPr>
                <w:rFonts w:hint="eastAsia" w:ascii="方正仿宋_GBK" w:hAnsi="方正仿宋_GBK" w:eastAsia="方正仿宋_GBK" w:cs="方正仿宋_GBK"/>
                <w:color w:val="auto"/>
                <w:sz w:val="24"/>
                <w:szCs w:val="24"/>
              </w:rPr>
              <w:t>产品仓配一体服务：包含装卸货、分拣、打包、</w:t>
            </w:r>
            <w:r>
              <w:rPr>
                <w:rFonts w:hint="eastAsia" w:ascii="方正仿宋_GBK" w:hAnsi="方正仿宋_GBK" w:eastAsia="方正仿宋_GBK" w:cs="方正仿宋_GBK"/>
                <w:color w:val="auto"/>
                <w:sz w:val="24"/>
                <w:szCs w:val="24"/>
                <w:lang w:val="en-US" w:eastAsia="zh-CN"/>
              </w:rPr>
              <w:t>常温</w:t>
            </w:r>
            <w:r>
              <w:rPr>
                <w:rFonts w:hint="eastAsia" w:ascii="方正仿宋_GBK" w:hAnsi="方正仿宋_GBK" w:eastAsia="方正仿宋_GBK" w:cs="方正仿宋_GBK"/>
                <w:color w:val="auto"/>
                <w:sz w:val="24"/>
                <w:szCs w:val="24"/>
              </w:rPr>
              <w:t>配送</w:t>
            </w:r>
            <w:r>
              <w:rPr>
                <w:rFonts w:hint="eastAsia" w:ascii="方正仿宋_GBK" w:hAnsi="方正仿宋_GBK" w:eastAsia="方正仿宋_GBK" w:cs="方正仿宋_GBK"/>
                <w:color w:val="auto"/>
                <w:sz w:val="24"/>
                <w:szCs w:val="24"/>
                <w:lang w:val="en-US" w:eastAsia="zh-CN"/>
              </w:rPr>
              <w:t>与低温配送</w:t>
            </w:r>
            <w:r>
              <w:rPr>
                <w:rFonts w:hint="eastAsia" w:ascii="方正仿宋_GBK" w:hAnsi="方正仿宋_GBK" w:eastAsia="方正仿宋_GBK" w:cs="方正仿宋_GBK"/>
                <w:color w:val="auto"/>
                <w:sz w:val="24"/>
                <w:szCs w:val="24"/>
              </w:rPr>
              <w:t>等仓储物流业务及其他所需增值服务。</w:t>
            </w:r>
          </w:p>
          <w:p>
            <w:pPr>
              <w:spacing w:line="440" w:lineRule="exact"/>
              <w:jc w:val="lef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数量：日均单量</w:t>
            </w:r>
            <w:r>
              <w:rPr>
                <w:rFonts w:hint="eastAsia" w:ascii="方正仿宋_GBK" w:hAnsi="方正仿宋_GBK" w:eastAsia="方正仿宋_GBK" w:cs="方正仿宋_GBK"/>
                <w:color w:val="auto"/>
                <w:sz w:val="24"/>
                <w:szCs w:val="24"/>
                <w:lang w:val="en-US" w:eastAsia="zh-CN"/>
              </w:rPr>
              <w:t>900-1000</w:t>
            </w:r>
            <w:r>
              <w:rPr>
                <w:rFonts w:hint="eastAsia" w:ascii="方正仿宋_GBK" w:hAnsi="方正仿宋_GBK" w:eastAsia="方正仿宋_GBK" w:cs="方正仿宋_GBK"/>
                <w:color w:val="auto"/>
                <w:sz w:val="24"/>
                <w:szCs w:val="24"/>
              </w:rPr>
              <w:t>单左右</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常温仓700单，低温仓200-300单）</w:t>
            </w:r>
            <w:r>
              <w:rPr>
                <w:rFonts w:hint="eastAsia" w:ascii="方正仿宋_GBK" w:hAnsi="方正仿宋_GBK" w:eastAsia="方正仿宋_GBK" w:cs="方正仿宋_GBK"/>
                <w:color w:val="auto"/>
                <w:sz w:val="24"/>
                <w:szCs w:val="24"/>
              </w:rPr>
              <w:t>，以实际入库发货数量为准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934"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仓库地点</w:t>
            </w:r>
          </w:p>
        </w:tc>
        <w:tc>
          <w:tcPr>
            <w:tcW w:w="3602" w:type="pct"/>
            <w:noWrap w:val="0"/>
            <w:vAlign w:val="center"/>
          </w:tcPr>
          <w:p>
            <w:pPr>
              <w:spacing w:line="440" w:lineRule="exact"/>
              <w:jc w:val="left"/>
              <w:rPr>
                <w:rFonts w:hint="default" w:ascii="方正仿宋_GBK" w:hAnsi="方正仿宋_GBK" w:eastAsia="宋体" w:cs="方正仿宋_GBK"/>
                <w:sz w:val="24"/>
                <w:szCs w:val="24"/>
                <w:lang w:val="en-US" w:eastAsia="zh-CN"/>
              </w:rPr>
            </w:pPr>
            <w:r>
              <w:rPr>
                <w:rFonts w:hint="eastAsia" w:ascii="方正仿宋_GBK" w:hAnsi="方正仿宋_GBK" w:eastAsia="方正仿宋_GBK" w:cs="方正仿宋_GBK"/>
                <w:color w:val="auto"/>
                <w:sz w:val="24"/>
                <w:szCs w:val="24"/>
                <w:highlight w:val="none"/>
                <w:lang w:val="en-US" w:eastAsia="zh-CN"/>
              </w:rPr>
              <w:t>陕西</w:t>
            </w:r>
            <w:r>
              <w:rPr>
                <w:rFonts w:hint="eastAsia" w:ascii="方正仿宋_GBK" w:hAnsi="方正仿宋_GBK" w:eastAsia="方正仿宋_GBK" w:cs="方正仿宋_GBK"/>
                <w:sz w:val="24"/>
                <w:highlight w:val="none"/>
                <w:lang w:val="en-US" w:eastAsia="zh-CN"/>
              </w:rPr>
              <w:t>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63"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w:t>
            </w:r>
          </w:p>
        </w:tc>
        <w:tc>
          <w:tcPr>
            <w:tcW w:w="934" w:type="pct"/>
            <w:noWrap w:val="0"/>
            <w:vAlign w:val="center"/>
          </w:tcPr>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报价及</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付款方式</w:t>
            </w:r>
          </w:p>
        </w:tc>
        <w:tc>
          <w:tcPr>
            <w:tcW w:w="3602" w:type="pct"/>
            <w:noWrap w:val="0"/>
            <w:vAlign w:val="top"/>
          </w:tcPr>
          <w:p>
            <w:pPr>
              <w:tabs>
                <w:tab w:val="center" w:pos="4153"/>
                <w:tab w:val="right" w:pos="8306"/>
              </w:tabs>
              <w:adjustRightInd w:val="0"/>
              <w:spacing w:line="44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1、人民币含税报价，单个服务项目分别报价，明确备注对应项目税率。</w:t>
            </w:r>
          </w:p>
          <w:p>
            <w:pPr>
              <w:tabs>
                <w:tab w:val="center" w:pos="4153"/>
                <w:tab w:val="right" w:pos="8306"/>
              </w:tabs>
              <w:adjustRightInd w:val="0"/>
              <w:spacing w:line="440" w:lineRule="exact"/>
              <w:jc w:val="left"/>
              <w:rPr>
                <w:sz w:val="24"/>
                <w:szCs w:val="24"/>
              </w:rPr>
            </w:pPr>
            <w:r>
              <w:rPr>
                <w:rFonts w:hint="eastAsia" w:ascii="方正仿宋_GBK" w:hAnsi="方正仿宋_GBK" w:eastAsia="方正仿宋_GBK" w:cs="方正仿宋_GBK"/>
                <w:sz w:val="24"/>
                <w:szCs w:val="24"/>
              </w:rPr>
              <w:t>2、付款方式：</w:t>
            </w:r>
            <w:r>
              <w:rPr>
                <w:rFonts w:hint="eastAsia" w:ascii="方正仿宋_GBK" w:hAnsi="方正仿宋_GBK" w:eastAsia="方正仿宋_GBK" w:cs="方正仿宋_GBK"/>
                <w:sz w:val="24"/>
              </w:rPr>
              <w:t xml:space="preserve">甲方以月为单位向乙方支付仓配服务费。甲乙双方由每月十号进行上月费用清单核对。甲方确认无误后以邮件或书面形式确认，乙方开具相应的增值税专用发票，如国家税收政策发生变化，合同涉及的价款及增值税等相关税费金额，按照“合同中不含增值税税额的价格不变”原则确定。甲方收到乙方发票后10个工作日内以汇款形式向乙方结清上月各项费用（如遇节假日进行延） </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w:t>
            </w:r>
          </w:p>
        </w:tc>
        <w:tc>
          <w:tcPr>
            <w:tcW w:w="934" w:type="pct"/>
            <w:noWrap w:val="0"/>
            <w:vAlign w:val="center"/>
          </w:tcPr>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比选时间</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及地点</w:t>
            </w:r>
          </w:p>
        </w:tc>
        <w:tc>
          <w:tcPr>
            <w:tcW w:w="3602" w:type="pct"/>
            <w:noWrap w:val="0"/>
            <w:vAlign w:val="center"/>
          </w:tcPr>
          <w:p>
            <w:pPr>
              <w:spacing w:line="44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rPr>
              <w:t>202</w:t>
            </w:r>
            <w:r>
              <w:rPr>
                <w:rFonts w:hint="eastAsia" w:ascii="方正仿宋_GBK" w:hAnsi="方正仿宋_GBK" w:eastAsia="方正仿宋_GBK" w:cs="方正仿宋_GBK"/>
                <w:color w:val="auto"/>
                <w:sz w:val="24"/>
                <w:szCs w:val="24"/>
                <w:lang w:val="en-US" w:eastAsia="zh-CN"/>
              </w:rPr>
              <w:t>3</w:t>
            </w:r>
            <w:r>
              <w:rPr>
                <w:rFonts w:hint="eastAsia" w:ascii="方正仿宋_GBK" w:hAnsi="方正仿宋_GBK" w:eastAsia="方正仿宋_GBK" w:cs="方正仿宋_GBK"/>
                <w:color w:val="auto"/>
                <w:sz w:val="24"/>
                <w:szCs w:val="24"/>
              </w:rPr>
              <w:t>年</w:t>
            </w:r>
            <w:r>
              <w:rPr>
                <w:rFonts w:hint="eastAsia" w:ascii="方正仿宋_GBK" w:hAnsi="Times New Roman" w:eastAsia="方正仿宋_GBK"/>
                <w:color w:val="auto"/>
                <w:sz w:val="24"/>
                <w:szCs w:val="24"/>
                <w:lang w:val="en-US" w:eastAsia="zh-CN"/>
              </w:rPr>
              <w:t>03</w:t>
            </w:r>
            <w:r>
              <w:rPr>
                <w:rFonts w:hint="eastAsia" w:ascii="方正仿宋_GBK" w:hAnsi="Times New Roman" w:eastAsia="方正仿宋_GBK"/>
                <w:color w:val="auto"/>
                <w:sz w:val="24"/>
                <w:szCs w:val="24"/>
              </w:rPr>
              <w:t>月</w:t>
            </w:r>
            <w:r>
              <w:rPr>
                <w:rFonts w:hint="eastAsia" w:ascii="方正仿宋_GBK" w:hAnsi="Times New Roman" w:eastAsia="方正仿宋_GBK"/>
                <w:color w:val="auto"/>
                <w:sz w:val="24"/>
                <w:szCs w:val="24"/>
                <w:lang w:val="en-US" w:eastAsia="zh-CN"/>
              </w:rPr>
              <w:t>20</w:t>
            </w:r>
            <w:r>
              <w:rPr>
                <w:rFonts w:hint="eastAsia" w:ascii="方正仿宋_GBK" w:hAnsi="Times New Roman" w:eastAsia="方正仿宋_GBK"/>
                <w:color w:val="auto"/>
                <w:sz w:val="24"/>
                <w:szCs w:val="24"/>
              </w:rPr>
              <w:t>日</w:t>
            </w:r>
            <w:r>
              <w:rPr>
                <w:rFonts w:hint="eastAsia" w:ascii="方正仿宋_GBK" w:hAnsi="Times New Roman" w:eastAsia="方正仿宋_GBK"/>
                <w:sz w:val="24"/>
                <w:szCs w:val="24"/>
              </w:rPr>
              <w:t>09:30</w:t>
            </w:r>
            <w:r>
              <w:rPr>
                <w:rFonts w:hint="eastAsia" w:ascii="方正仿宋_GBK" w:hAnsi="方正仿宋_GBK" w:eastAsia="方正仿宋_GBK" w:cs="方正仿宋_GBK"/>
                <w:sz w:val="24"/>
                <w:szCs w:val="24"/>
              </w:rPr>
              <w:t>；重庆市渝北区金渝大道85号汉国中心A座17楼会议室（暂定）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934" w:type="pct"/>
            <w:noWrap w:val="0"/>
            <w:vAlign w:val="center"/>
          </w:tcPr>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评选方法</w:t>
            </w:r>
          </w:p>
        </w:tc>
        <w:tc>
          <w:tcPr>
            <w:tcW w:w="3602" w:type="pct"/>
            <w:noWrap w:val="0"/>
            <w:vAlign w:val="center"/>
          </w:tcPr>
          <w:p>
            <w:pPr>
              <w:spacing w:line="44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评审小组按照各项目综合评分，经评审的得分由高到低的顺序推荐比选候选人。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w:t>
            </w:r>
          </w:p>
        </w:tc>
        <w:tc>
          <w:tcPr>
            <w:tcW w:w="934" w:type="pct"/>
            <w:noWrap w:val="0"/>
            <w:vAlign w:val="center"/>
          </w:tcPr>
          <w:p>
            <w:pPr>
              <w:spacing w:line="44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其他说明</w:t>
            </w:r>
          </w:p>
        </w:tc>
        <w:tc>
          <w:tcPr>
            <w:tcW w:w="3602" w:type="pct"/>
            <w:noWrap w:val="0"/>
            <w:vAlign w:val="center"/>
          </w:tcPr>
          <w:p>
            <w:pPr>
              <w:tabs>
                <w:tab w:val="center" w:pos="4153"/>
                <w:tab w:val="right" w:pos="8306"/>
              </w:tabs>
              <w:adjustRightInd w:val="0"/>
              <w:spacing w:line="44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应标文件需严格按照我方格式要求提供，不可更改。不符合格式的应标内容，经评标小组集体确认后将取消该项得分。</w:t>
            </w:r>
          </w:p>
        </w:tc>
      </w:tr>
    </w:tbl>
    <w:p>
      <w:pPr>
        <w:adjustRightInd w:val="0"/>
        <w:snapToGrid w:val="0"/>
        <w:spacing w:line="600" w:lineRule="exact"/>
        <w:jc w:val="left"/>
        <w:rPr>
          <w:rFonts w:hint="eastAsia" w:ascii="方正仿宋_GBK" w:hAnsi="方正仿宋_GBK" w:eastAsia="方正仿宋_GBK" w:cs="方正仿宋_GBK"/>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adjustRightInd w:val="0"/>
        <w:snapToGrid w:val="0"/>
        <w:spacing w:line="560" w:lineRule="exact"/>
        <w:ind w:firstLine="1968" w:firstLineChars="700"/>
        <w:jc w:val="both"/>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第三章 评审规则和办法</w:t>
      </w:r>
    </w:p>
    <w:p>
      <w:pPr>
        <w:adjustRightInd w:val="0"/>
        <w:snapToGrid w:val="0"/>
        <w:spacing w:line="560" w:lineRule="exact"/>
        <w:jc w:val="left"/>
        <w:rPr>
          <w:rFonts w:hint="eastAsia" w:ascii="方正仿宋_GBK" w:hAnsi="方正仿宋_GBK" w:eastAsia="方正仿宋_GBK" w:cs="方正仿宋_GBK"/>
          <w:sz w:val="28"/>
          <w:szCs w:val="28"/>
        </w:rPr>
      </w:pPr>
      <w:bookmarkStart w:id="1" w:name="_Toc325636633"/>
      <w:bookmarkStart w:id="2" w:name="_Toc321418000"/>
      <w:bookmarkStart w:id="3" w:name="_Toc305846762"/>
      <w:bookmarkStart w:id="4" w:name="_Toc177791409"/>
      <w:r>
        <w:rPr>
          <w:rFonts w:hint="eastAsia" w:ascii="方正仿宋_GBK" w:hAnsi="方正仿宋_GBK" w:eastAsia="方正仿宋_GBK" w:cs="方正仿宋_GBK"/>
          <w:sz w:val="28"/>
          <w:szCs w:val="28"/>
        </w:rPr>
        <w:t>一、评审原则</w:t>
      </w:r>
      <w:bookmarkEnd w:id="1"/>
      <w:bookmarkEnd w:id="2"/>
      <w:bookmarkEnd w:id="3"/>
      <w:bookmarkEnd w:id="4"/>
    </w:p>
    <w:p>
      <w:pPr>
        <w:adjustRightInd w:val="0"/>
        <w:snapToGrid w:val="0"/>
        <w:spacing w:line="5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1、坚持“公平、公正、科学、择优”的原则。</w:t>
      </w:r>
    </w:p>
    <w:p>
      <w:pPr>
        <w:adjustRightInd w:val="0"/>
        <w:snapToGrid w:val="0"/>
        <w:spacing w:line="5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2、坚持依法评审的原则。</w:t>
      </w:r>
    </w:p>
    <w:p>
      <w:pPr>
        <w:adjustRightInd w:val="0"/>
        <w:snapToGrid w:val="0"/>
        <w:spacing w:line="5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3、采用综合评分法。</w:t>
      </w:r>
    </w:p>
    <w:p>
      <w:pPr>
        <w:adjustRightInd w:val="0"/>
        <w:snapToGrid w:val="0"/>
        <w:spacing w:line="560" w:lineRule="exact"/>
        <w:jc w:val="left"/>
        <w:rPr>
          <w:rFonts w:hint="eastAsia" w:ascii="方正仿宋_GBK" w:hAnsi="方正仿宋_GBK" w:eastAsia="方正仿宋_GBK" w:cs="方正仿宋_GBK"/>
          <w:sz w:val="28"/>
          <w:szCs w:val="28"/>
        </w:rPr>
      </w:pPr>
      <w:bookmarkStart w:id="5" w:name="_Toc177791410"/>
      <w:bookmarkStart w:id="6" w:name="_Toc321418001"/>
      <w:bookmarkStart w:id="7" w:name="_Toc325636634"/>
      <w:bookmarkStart w:id="8" w:name="_Toc305846763"/>
      <w:r>
        <w:rPr>
          <w:rFonts w:hint="eastAsia" w:ascii="方正仿宋_GBK" w:hAnsi="方正仿宋_GBK" w:eastAsia="方正仿宋_GBK" w:cs="方正仿宋_GBK"/>
          <w:sz w:val="28"/>
          <w:szCs w:val="28"/>
        </w:rPr>
        <w:t>二、评审</w:t>
      </w:r>
      <w:bookmarkEnd w:id="5"/>
      <w:bookmarkEnd w:id="6"/>
      <w:bookmarkEnd w:id="7"/>
      <w:bookmarkEnd w:id="8"/>
      <w:r>
        <w:rPr>
          <w:rFonts w:hint="eastAsia" w:ascii="方正仿宋_GBK" w:hAnsi="方正仿宋_GBK" w:eastAsia="方正仿宋_GBK" w:cs="方正仿宋_GBK"/>
          <w:sz w:val="28"/>
          <w:szCs w:val="28"/>
        </w:rPr>
        <w:t>办法：</w:t>
      </w:r>
    </w:p>
    <w:p>
      <w:pPr>
        <w:adjustRightInd w:val="0"/>
        <w:snapToGrid w:val="0"/>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由比选小组根据公司规定文件及内容采取综合评分法，进行综合评选，择优推选候选人，参评成员签字确认生效。评选结果出来后由项目实施单位邮件或电话通知中选人。</w:t>
      </w:r>
    </w:p>
    <w:p>
      <w:pPr>
        <w:adjustRightInd w:val="0"/>
        <w:snapToGrid w:val="0"/>
        <w:spacing w:line="560" w:lineRule="exact"/>
        <w:jc w:val="left"/>
        <w:rPr>
          <w:rFonts w:hint="eastAsia" w:ascii="方正仿宋_GBK" w:hAnsi="方正仿宋_GBK" w:eastAsia="方正仿宋_GBK" w:cs="方正仿宋_GBK"/>
          <w:sz w:val="28"/>
          <w:szCs w:val="28"/>
        </w:rPr>
      </w:pPr>
      <w:bookmarkStart w:id="9" w:name="_Toc177791411"/>
      <w:bookmarkStart w:id="10" w:name="_Toc325636635"/>
      <w:bookmarkStart w:id="11" w:name="_Toc305846764"/>
      <w:bookmarkStart w:id="12" w:name="_Toc321418002"/>
      <w:bookmarkStart w:id="13" w:name="_Toc484512167"/>
      <w:r>
        <w:rPr>
          <w:rFonts w:hint="eastAsia" w:ascii="方正仿宋_GBK" w:hAnsi="方正仿宋_GBK" w:eastAsia="方正仿宋_GBK" w:cs="方正仿宋_GBK"/>
          <w:sz w:val="28"/>
          <w:szCs w:val="28"/>
        </w:rPr>
        <w:t>三、评审工作纪律</w:t>
      </w:r>
      <w:bookmarkEnd w:id="9"/>
      <w:bookmarkEnd w:id="10"/>
      <w:bookmarkEnd w:id="11"/>
      <w:bookmarkEnd w:id="12"/>
    </w:p>
    <w:p>
      <w:pPr>
        <w:adjustRightInd w:val="0"/>
        <w:snapToGrid w:val="0"/>
        <w:spacing w:line="5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1、评审小组成员应当客观、公正地履行职责，遵守职业道德，坚持评审原则，对所提出的评审意见承担个人责任。</w:t>
      </w:r>
    </w:p>
    <w:p>
      <w:pPr>
        <w:adjustRightInd w:val="0"/>
        <w:snapToGrid w:val="0"/>
        <w:spacing w:line="5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2、评审在保密的方式下进行，有关评定过程信息对投标人及其他无关人员保密。</w:t>
      </w:r>
    </w:p>
    <w:p>
      <w:pPr>
        <w:adjustRightInd w:val="0"/>
        <w:snapToGrid w:val="0"/>
        <w:spacing w:line="5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3、所有评委和工作人员未经监督部门授权不得接待比选人或与比选人有关联的人员。</w:t>
      </w:r>
    </w:p>
    <w:p>
      <w:pPr>
        <w:adjustRightInd w:val="0"/>
        <w:snapToGrid w:val="0"/>
        <w:spacing w:line="5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4、任何单位或个人不得非法干预、影响评审的过程和结果，任何试图非法干预或影响评审过程和结果的做法都将导致取消相关比选人可能的比选资格。</w:t>
      </w:r>
    </w:p>
    <w:p>
      <w:pPr>
        <w:adjustRightInd w:val="0"/>
        <w:snapToGrid w:val="0"/>
        <w:spacing w:line="5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5、评审委员会及评委的评分细节应接受评审监督人员的监督和质询。</w:t>
      </w:r>
    </w:p>
    <w:p>
      <w:pPr>
        <w:adjustRightInd w:val="0"/>
        <w:snapToGrid w:val="0"/>
        <w:spacing w:line="5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6、评委和工作人员不得透露对比选文件的评审和比较、推荐比选候选人的情况以及与评审有关的其他细节。</w:t>
      </w:r>
    </w:p>
    <w:p>
      <w:pPr>
        <w:adjustRightInd w:val="0"/>
        <w:snapToGrid w:val="0"/>
        <w:spacing w:line="560" w:lineRule="exact"/>
        <w:jc w:val="left"/>
        <w:rPr>
          <w:rFonts w:hint="eastAsia" w:ascii="方正仿宋_GBK" w:hAnsi="方正仿宋_GBK" w:eastAsia="方正仿宋_GBK" w:cs="方正仿宋_GBK"/>
          <w:sz w:val="28"/>
          <w:szCs w:val="28"/>
        </w:rPr>
      </w:pPr>
      <w:bookmarkStart w:id="14" w:name="_Toc325636636"/>
      <w:bookmarkStart w:id="15" w:name="_Toc321418003"/>
      <w:r>
        <w:rPr>
          <w:rFonts w:hint="eastAsia" w:ascii="方正仿宋_GBK" w:hAnsi="方正仿宋_GBK" w:eastAsia="方正仿宋_GBK" w:cs="方正仿宋_GBK"/>
          <w:sz w:val="28"/>
          <w:szCs w:val="28"/>
        </w:rPr>
        <w:t>四、评审内容</w:t>
      </w:r>
      <w:bookmarkEnd w:id="14"/>
      <w:bookmarkEnd w:id="15"/>
    </w:p>
    <w:p>
      <w:pPr>
        <w:adjustRightInd w:val="0"/>
        <w:snapToGrid w:val="0"/>
        <w:spacing w:line="560" w:lineRule="exact"/>
        <w:jc w:val="left"/>
        <w:rPr>
          <w:rFonts w:hint="eastAsia" w:ascii="方正仿宋_GBK" w:hAnsi="方正仿宋_GBK" w:eastAsia="方正仿宋_GBK" w:cs="方正仿宋_GBK"/>
          <w:sz w:val="28"/>
          <w:szCs w:val="28"/>
        </w:rPr>
      </w:pPr>
      <w:bookmarkStart w:id="16" w:name="_Toc177791414"/>
      <w:r>
        <w:rPr>
          <w:rFonts w:hint="eastAsia" w:ascii="方正仿宋_GBK" w:hAnsi="方正仿宋_GBK" w:eastAsia="方正仿宋_GBK" w:cs="方正仿宋_GBK"/>
          <w:sz w:val="28"/>
          <w:szCs w:val="28"/>
        </w:rPr>
        <w:t>评分标准及计分方法</w:t>
      </w:r>
    </w:p>
    <w:p>
      <w:pPr>
        <w:adjustRightInd w:val="0"/>
        <w:snapToGrid w:val="0"/>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本项目评审采用综合评分法，各个项目评分综合相加，得出参与评选单位最终得分。具体的评分细则：总分100分，商务部分</w:t>
      </w:r>
      <w:r>
        <w:rPr>
          <w:rFonts w:hint="eastAsia" w:ascii="方正仿宋_GBK" w:hAnsi="方正仿宋_GBK" w:eastAsia="方正仿宋_GBK" w:cs="方正仿宋_GBK"/>
          <w:sz w:val="28"/>
          <w:szCs w:val="28"/>
          <w:lang w:val="en-US" w:eastAsia="zh-CN"/>
        </w:rPr>
        <w:t>24</w:t>
      </w:r>
      <w:r>
        <w:rPr>
          <w:rFonts w:hint="eastAsia" w:ascii="方正仿宋_GBK" w:hAnsi="方正仿宋_GBK" w:eastAsia="方正仿宋_GBK" w:cs="方正仿宋_GBK"/>
          <w:sz w:val="28"/>
          <w:szCs w:val="28"/>
        </w:rPr>
        <w:t>分；技术服务1</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分，价格部分</w:t>
      </w:r>
      <w:r>
        <w:rPr>
          <w:rFonts w:hint="eastAsia" w:ascii="方正仿宋_GBK" w:hAnsi="方正仿宋_GBK" w:eastAsia="方正仿宋_GBK" w:cs="方正仿宋_GBK"/>
          <w:sz w:val="28"/>
          <w:szCs w:val="28"/>
          <w:lang w:val="en-US" w:eastAsia="zh-CN"/>
        </w:rPr>
        <w:t>64</w:t>
      </w:r>
      <w:r>
        <w:rPr>
          <w:rFonts w:hint="eastAsia" w:ascii="方正仿宋_GBK" w:hAnsi="方正仿宋_GBK" w:eastAsia="方正仿宋_GBK" w:cs="方正仿宋_GBK"/>
          <w:sz w:val="28"/>
          <w:szCs w:val="28"/>
        </w:rPr>
        <w:t>分。</w:t>
      </w:r>
    </w:p>
    <w:p>
      <w:pPr>
        <w:adjustRightInd w:val="0"/>
        <w:snapToGrid w:val="0"/>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任何评分单项未提报者单项得0分，技术部分提报数据需符合市场行业情况，若不符合市场行业情况，经评审小组集体决策后可取消该项得分。</w:t>
      </w:r>
    </w:p>
    <w:p>
      <w:pPr>
        <w:pStyle w:val="2"/>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评分标准及细则</w:t>
      </w:r>
    </w:p>
    <w:bookmarkEnd w:id="13"/>
    <w:bookmarkEnd w:id="16"/>
    <w:tbl>
      <w:tblPr>
        <w:tblStyle w:val="5"/>
        <w:tblW w:w="8738" w:type="dxa"/>
        <w:tblInd w:w="0" w:type="dxa"/>
        <w:tblLayout w:type="autofit"/>
        <w:tblCellMar>
          <w:top w:w="0" w:type="dxa"/>
          <w:left w:w="0" w:type="dxa"/>
          <w:bottom w:w="0" w:type="dxa"/>
          <w:right w:w="0" w:type="dxa"/>
        </w:tblCellMar>
      </w:tblPr>
      <w:tblGrid>
        <w:gridCol w:w="909"/>
        <w:gridCol w:w="909"/>
        <w:gridCol w:w="721"/>
        <w:gridCol w:w="1097"/>
        <w:gridCol w:w="909"/>
        <w:gridCol w:w="4193"/>
      </w:tblGrid>
      <w:tr>
        <w:tblPrEx>
          <w:tblCellMar>
            <w:top w:w="0" w:type="dxa"/>
            <w:left w:w="0" w:type="dxa"/>
            <w:bottom w:w="0" w:type="dxa"/>
            <w:right w:w="0" w:type="dxa"/>
          </w:tblCellMar>
        </w:tblPrEx>
        <w:trPr>
          <w:trHeight w:val="454" w:hRule="atLeast"/>
        </w:trPr>
        <w:tc>
          <w:tcPr>
            <w:tcW w:w="90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ascii="方正仿宋_GBK" w:hAnsi="方正仿宋_GBK" w:eastAsia="方正仿宋_GBK" w:cs="方正仿宋_GBK"/>
                <w:szCs w:val="21"/>
              </w:rPr>
            </w:pPr>
            <w:bookmarkStart w:id="17" w:name="_Toc325636638"/>
            <w:bookmarkStart w:id="18" w:name="_Toc294083520"/>
            <w:r>
              <w:rPr>
                <w:rFonts w:hint="eastAsia" w:ascii="方正仿宋_GBK" w:hAnsi="方正仿宋_GBK" w:eastAsia="方正仿宋_GBK" w:cs="方正仿宋_GBK"/>
                <w:kern w:val="0"/>
                <w:szCs w:val="21"/>
                <w:lang w:bidi="ar"/>
              </w:rPr>
              <w:t>序号</w:t>
            </w:r>
          </w:p>
        </w:tc>
        <w:tc>
          <w:tcPr>
            <w:tcW w:w="90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评分类别</w:t>
            </w:r>
          </w:p>
        </w:tc>
        <w:tc>
          <w:tcPr>
            <w:tcW w:w="721" w:type="dxa"/>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widowControl/>
              <w:spacing w:line="240" w:lineRule="atLeast"/>
              <w:jc w:val="center"/>
              <w:textAlignment w:val="top"/>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单项总分</w:t>
            </w:r>
          </w:p>
        </w:tc>
        <w:tc>
          <w:tcPr>
            <w:tcW w:w="109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评分项目</w:t>
            </w:r>
          </w:p>
        </w:tc>
        <w:tc>
          <w:tcPr>
            <w:tcW w:w="90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分值</w:t>
            </w:r>
          </w:p>
        </w:tc>
        <w:tc>
          <w:tcPr>
            <w:tcW w:w="419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评分标准</w:t>
            </w:r>
          </w:p>
        </w:tc>
      </w:tr>
      <w:tr>
        <w:tblPrEx>
          <w:tblCellMar>
            <w:top w:w="0" w:type="dxa"/>
            <w:left w:w="0" w:type="dxa"/>
            <w:bottom w:w="0" w:type="dxa"/>
            <w:right w:w="0" w:type="dxa"/>
          </w:tblCellMar>
        </w:tblPrEx>
        <w:trPr>
          <w:trHeight w:val="454" w:hRule="atLeast"/>
        </w:trPr>
        <w:tc>
          <w:tcPr>
            <w:tcW w:w="909"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1</w:t>
            </w:r>
          </w:p>
        </w:tc>
        <w:tc>
          <w:tcPr>
            <w:tcW w:w="909"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商务部分</w:t>
            </w:r>
          </w:p>
        </w:tc>
        <w:tc>
          <w:tcPr>
            <w:tcW w:w="721"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bidi="ar"/>
              </w:rPr>
              <w:t>24</w:t>
            </w:r>
            <w:r>
              <w:rPr>
                <w:rFonts w:hint="eastAsia" w:ascii="方正仿宋_GBK" w:hAnsi="方正仿宋_GBK" w:eastAsia="方正仿宋_GBK" w:cs="方正仿宋_GBK"/>
                <w:kern w:val="0"/>
                <w:szCs w:val="21"/>
                <w:lang w:bidi="ar"/>
              </w:rPr>
              <w:t>分</w:t>
            </w:r>
          </w:p>
        </w:tc>
        <w:tc>
          <w:tcPr>
            <w:tcW w:w="109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公司业绩证明</w:t>
            </w:r>
          </w:p>
        </w:tc>
        <w:tc>
          <w:tcPr>
            <w:tcW w:w="90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bidi="ar"/>
              </w:rPr>
              <w:t>5</w:t>
            </w:r>
            <w:r>
              <w:rPr>
                <w:rFonts w:hint="eastAsia" w:ascii="方正仿宋_GBK" w:hAnsi="方正仿宋_GBK" w:eastAsia="方正仿宋_GBK" w:cs="方正仿宋_GBK"/>
                <w:kern w:val="0"/>
                <w:szCs w:val="21"/>
                <w:lang w:bidi="ar"/>
              </w:rPr>
              <w:t>分</w:t>
            </w: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highlight w:val="none"/>
                <w:lang w:bidi="ar"/>
              </w:rPr>
              <w:t>比选人提供本单位2020-2022年与本项目相关的且执行中的仓储业绩证明</w:t>
            </w:r>
            <w:r>
              <w:rPr>
                <w:rFonts w:hint="eastAsia" w:ascii="方正仿宋_GBK" w:hAnsi="方正仿宋_GBK" w:eastAsia="方正仿宋_GBK" w:cs="方正仿宋_GBK"/>
                <w:kern w:val="0"/>
                <w:szCs w:val="21"/>
                <w:highlight w:val="none"/>
                <w:lang w:eastAsia="zh-CN" w:bidi="ar"/>
              </w:rPr>
              <w:t>（</w:t>
            </w:r>
            <w:r>
              <w:rPr>
                <w:rFonts w:hint="eastAsia" w:ascii="方正仿宋_GBK" w:hAnsi="方正仿宋_GBK" w:eastAsia="方正仿宋_GBK" w:cs="方正仿宋_GBK"/>
                <w:kern w:val="0"/>
                <w:szCs w:val="21"/>
                <w:highlight w:val="none"/>
                <w:lang w:val="en-US" w:eastAsia="zh-CN" w:bidi="ar"/>
              </w:rPr>
              <w:t>不包含本司，且同一家公司不同年份业绩证明只算作一份）</w:t>
            </w:r>
            <w:r>
              <w:rPr>
                <w:rFonts w:hint="eastAsia" w:ascii="方正仿宋_GBK" w:hAnsi="方正仿宋_GBK" w:eastAsia="方正仿宋_GBK" w:cs="方正仿宋_GBK"/>
                <w:kern w:val="0"/>
                <w:szCs w:val="21"/>
                <w:highlight w:val="none"/>
                <w:lang w:bidi="ar"/>
              </w:rPr>
              <w:t>，综合比选人提供的有效业绩情况，</w:t>
            </w:r>
            <w:r>
              <w:rPr>
                <w:rFonts w:hint="eastAsia" w:ascii="方正仿宋_GBK" w:hAnsi="方正仿宋_GBK" w:eastAsia="方正仿宋_GBK" w:cs="方正仿宋_GBK"/>
                <w:kern w:val="0"/>
                <w:szCs w:val="21"/>
                <w:highlight w:val="none"/>
                <w:lang w:val="en-US" w:eastAsia="zh-CN" w:bidi="ar"/>
              </w:rPr>
              <w:t>服务</w:t>
            </w:r>
            <w:r>
              <w:rPr>
                <w:rStyle w:val="9"/>
                <w:rFonts w:hint="eastAsia" w:eastAsia="方正仿宋_GBK"/>
                <w:color w:val="auto"/>
                <w:sz w:val="21"/>
                <w:szCs w:val="21"/>
                <w:highlight w:val="none"/>
                <w:lang w:val="en-US" w:eastAsia="zh-CN" w:bidi="ar"/>
              </w:rPr>
              <w:t>3</w:t>
            </w:r>
            <w:r>
              <w:rPr>
                <w:rStyle w:val="9"/>
                <w:rFonts w:hint="default"/>
                <w:color w:val="auto"/>
                <w:sz w:val="21"/>
                <w:szCs w:val="21"/>
                <w:highlight w:val="none"/>
                <w:lang w:bidi="ar"/>
              </w:rPr>
              <w:t>家得</w:t>
            </w:r>
            <w:r>
              <w:rPr>
                <w:rStyle w:val="9"/>
                <w:rFonts w:hint="eastAsia" w:eastAsia="方正仿宋_GBK"/>
                <w:color w:val="auto"/>
                <w:sz w:val="21"/>
                <w:szCs w:val="21"/>
                <w:highlight w:val="none"/>
                <w:lang w:val="en-US" w:eastAsia="zh-CN" w:bidi="ar"/>
              </w:rPr>
              <w:t>2.5</w:t>
            </w:r>
            <w:r>
              <w:rPr>
                <w:rStyle w:val="9"/>
                <w:rFonts w:hint="default"/>
                <w:color w:val="auto"/>
                <w:sz w:val="21"/>
                <w:szCs w:val="21"/>
                <w:highlight w:val="none"/>
                <w:lang w:bidi="ar"/>
              </w:rPr>
              <w:t>分</w:t>
            </w:r>
            <w:r>
              <w:rPr>
                <w:rStyle w:val="9"/>
                <w:rFonts w:hint="eastAsia" w:eastAsia="方正仿宋_GBK"/>
                <w:color w:val="auto"/>
                <w:sz w:val="21"/>
                <w:szCs w:val="21"/>
                <w:highlight w:val="none"/>
                <w:lang w:val="en-US" w:eastAsia="zh-CN" w:bidi="ar"/>
              </w:rPr>
              <w:t>，</w:t>
            </w:r>
            <w:r>
              <w:rPr>
                <w:rStyle w:val="9"/>
                <w:rFonts w:hint="default"/>
                <w:color w:val="auto"/>
                <w:sz w:val="21"/>
                <w:szCs w:val="21"/>
                <w:highlight w:val="none"/>
                <w:lang w:bidi="ar"/>
              </w:rPr>
              <w:t>每多提供1家加</w:t>
            </w:r>
            <w:r>
              <w:rPr>
                <w:rStyle w:val="9"/>
                <w:rFonts w:hint="eastAsia" w:eastAsia="方正仿宋_GBK"/>
                <w:color w:val="auto"/>
                <w:sz w:val="21"/>
                <w:szCs w:val="21"/>
                <w:highlight w:val="none"/>
                <w:lang w:val="en-US" w:eastAsia="zh-CN" w:bidi="ar"/>
              </w:rPr>
              <w:t>0.5</w:t>
            </w:r>
            <w:r>
              <w:rPr>
                <w:rStyle w:val="9"/>
                <w:rFonts w:hint="default"/>
                <w:color w:val="auto"/>
                <w:sz w:val="21"/>
                <w:szCs w:val="21"/>
                <w:highlight w:val="none"/>
                <w:lang w:bidi="ar"/>
              </w:rPr>
              <w:t>分，最多得</w:t>
            </w:r>
            <w:r>
              <w:rPr>
                <w:rStyle w:val="9"/>
                <w:rFonts w:hint="eastAsia" w:eastAsia="方正仿宋_GBK"/>
                <w:color w:val="auto"/>
                <w:sz w:val="21"/>
                <w:szCs w:val="21"/>
                <w:highlight w:val="none"/>
                <w:lang w:val="en-US" w:eastAsia="zh-CN" w:bidi="ar"/>
              </w:rPr>
              <w:t>5</w:t>
            </w:r>
            <w:r>
              <w:rPr>
                <w:rStyle w:val="9"/>
                <w:rFonts w:hint="default"/>
                <w:color w:val="auto"/>
                <w:sz w:val="21"/>
                <w:szCs w:val="21"/>
                <w:highlight w:val="none"/>
                <w:lang w:bidi="ar"/>
              </w:rPr>
              <w:t>分，</w:t>
            </w:r>
            <w:r>
              <w:rPr>
                <w:rStyle w:val="9"/>
                <w:rFonts w:hint="eastAsia" w:eastAsia="方正仿宋_GBK"/>
                <w:color w:val="auto"/>
                <w:sz w:val="21"/>
                <w:szCs w:val="21"/>
                <w:highlight w:val="none"/>
                <w:lang w:val="en-US" w:eastAsia="zh-CN" w:bidi="ar"/>
              </w:rPr>
              <w:t>小于3家不得分</w:t>
            </w:r>
            <w:r>
              <w:rPr>
                <w:rStyle w:val="9"/>
                <w:rFonts w:hint="default"/>
                <w:color w:val="auto"/>
                <w:sz w:val="21"/>
                <w:szCs w:val="21"/>
                <w:highlight w:val="none"/>
                <w:lang w:bidi="ar"/>
              </w:rPr>
              <w:t>。业绩必须提供有效证明：合同相关页复印件（包含但不限于合同有效页复印件、合同双方名称、项目名称、数量，签订日期等）</w:t>
            </w:r>
            <w:r>
              <w:rPr>
                <w:rStyle w:val="9"/>
                <w:rFonts w:hint="eastAsia" w:eastAsia="方正仿宋_GBK"/>
                <w:color w:val="auto"/>
                <w:sz w:val="21"/>
                <w:szCs w:val="21"/>
                <w:highlight w:val="none"/>
                <w:lang w:val="en-US" w:eastAsia="zh-CN" w:bidi="ar"/>
              </w:rPr>
              <w:t>或中标通知书</w:t>
            </w:r>
            <w:r>
              <w:rPr>
                <w:rStyle w:val="9"/>
                <w:rFonts w:hint="default"/>
                <w:color w:val="auto"/>
                <w:sz w:val="21"/>
                <w:szCs w:val="21"/>
                <w:highlight w:val="none"/>
                <w:lang w:bidi="ar"/>
              </w:rPr>
              <w:t>, 加盖比选人单位公章，原件备查。</w:t>
            </w:r>
          </w:p>
        </w:tc>
      </w:tr>
      <w:tr>
        <w:tblPrEx>
          <w:tblCellMar>
            <w:top w:w="0" w:type="dxa"/>
            <w:left w:w="0" w:type="dxa"/>
            <w:bottom w:w="0" w:type="dxa"/>
            <w:right w:w="0" w:type="dxa"/>
          </w:tblCellMar>
        </w:tblPrEx>
        <w:trPr>
          <w:trHeight w:val="2036"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tcBorders>
              <w:top w:val="nil"/>
              <w:left w:val="nil"/>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仓库可使用面积</w:t>
            </w:r>
          </w:p>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bidi="ar"/>
              </w:rPr>
              <w:t xml:space="preserve"> </w:t>
            </w:r>
          </w:p>
        </w:tc>
        <w:tc>
          <w:tcPr>
            <w:tcW w:w="909" w:type="dxa"/>
            <w:tcBorders>
              <w:top w:val="nil"/>
              <w:left w:val="nil"/>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kern w:val="0"/>
                <w:szCs w:val="21"/>
                <w:lang w:val="en-US" w:eastAsia="zh-CN" w:bidi="ar"/>
              </w:rPr>
            </w:pPr>
            <w:r>
              <w:rPr>
                <w:rFonts w:hint="eastAsia" w:ascii="方正仿宋_GBK" w:hAnsi="方正仿宋_GBK" w:eastAsia="方正仿宋_GBK" w:cs="方正仿宋_GBK"/>
                <w:kern w:val="0"/>
                <w:szCs w:val="21"/>
                <w:lang w:val="en-US" w:eastAsia="zh-CN" w:bidi="ar"/>
              </w:rPr>
              <w:t>3</w:t>
            </w:r>
            <w:r>
              <w:rPr>
                <w:rFonts w:hint="eastAsia" w:ascii="方正仿宋_GBK" w:hAnsi="方正仿宋_GBK" w:eastAsia="方正仿宋_GBK" w:cs="方正仿宋_GBK"/>
                <w:kern w:val="0"/>
                <w:szCs w:val="21"/>
                <w:lang w:bidi="ar"/>
              </w:rPr>
              <w:t>分</w:t>
            </w:r>
          </w:p>
          <w:p>
            <w:pPr>
              <w:widowControl/>
              <w:spacing w:line="240" w:lineRule="atLeast"/>
              <w:jc w:val="center"/>
              <w:textAlignment w:val="center"/>
              <w:rPr>
                <w:rFonts w:hint="eastAsia" w:ascii="方正仿宋_GBK" w:hAnsi="方正仿宋_GBK" w:eastAsia="方正仿宋_GBK" w:cs="方正仿宋_GBK"/>
                <w:szCs w:val="21"/>
              </w:rPr>
            </w:pP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仓库</w:t>
            </w:r>
            <w:r>
              <w:rPr>
                <w:rFonts w:hint="eastAsia" w:ascii="方正仿宋_GBK" w:hAnsi="方正仿宋_GBK" w:eastAsia="方正仿宋_GBK" w:cs="方正仿宋_GBK"/>
                <w:kern w:val="0"/>
                <w:szCs w:val="21"/>
                <w:lang w:val="en-US" w:eastAsia="zh-CN" w:bidi="ar"/>
              </w:rPr>
              <w:t>常温</w:t>
            </w:r>
            <w:r>
              <w:rPr>
                <w:rFonts w:hint="eastAsia" w:ascii="方正仿宋_GBK" w:hAnsi="方正仿宋_GBK" w:eastAsia="方正仿宋_GBK" w:cs="方正仿宋_GBK"/>
                <w:kern w:val="0"/>
                <w:szCs w:val="21"/>
                <w:lang w:bidi="ar"/>
              </w:rPr>
              <w:t>可使用面积</w:t>
            </w:r>
            <w:r>
              <w:rPr>
                <w:rStyle w:val="8"/>
                <w:rFonts w:hint="default"/>
                <w:color w:val="auto"/>
                <w:sz w:val="21"/>
                <w:szCs w:val="21"/>
                <w:lang w:bidi="ar"/>
              </w:rPr>
              <w:t>最低要求</w:t>
            </w:r>
            <w:r>
              <w:rPr>
                <w:rStyle w:val="8"/>
                <w:rFonts w:hint="eastAsia" w:eastAsia="方正仿宋_GBK"/>
                <w:color w:val="auto"/>
                <w:sz w:val="21"/>
                <w:szCs w:val="21"/>
                <w:lang w:val="en-US" w:eastAsia="zh-CN" w:bidi="ar"/>
              </w:rPr>
              <w:t>300</w:t>
            </w:r>
            <w:r>
              <w:rPr>
                <w:rStyle w:val="8"/>
                <w:rFonts w:hint="default"/>
                <w:color w:val="auto"/>
                <w:sz w:val="21"/>
                <w:szCs w:val="21"/>
                <w:lang w:bidi="ar"/>
              </w:rPr>
              <w:t>平方</w:t>
            </w:r>
            <w:r>
              <w:rPr>
                <w:rStyle w:val="8"/>
                <w:color w:val="auto"/>
                <w:sz w:val="21"/>
                <w:szCs w:val="21"/>
                <w:lang w:bidi="ar"/>
              </w:rPr>
              <w:t>米</w:t>
            </w:r>
            <w:r>
              <w:rPr>
                <w:rStyle w:val="8"/>
                <w:rFonts w:hint="default"/>
                <w:color w:val="auto"/>
                <w:sz w:val="21"/>
                <w:szCs w:val="21"/>
                <w:lang w:bidi="ar"/>
              </w:rPr>
              <w:t>，</w:t>
            </w:r>
            <w:r>
              <w:rPr>
                <w:rStyle w:val="8"/>
                <w:rFonts w:hint="eastAsia" w:eastAsia="方正仿宋_GBK"/>
                <w:color w:val="auto"/>
                <w:sz w:val="21"/>
                <w:szCs w:val="21"/>
                <w:lang w:val="en-US" w:eastAsia="zh-CN" w:bidi="ar"/>
              </w:rPr>
              <w:t>低温仓库可使用面积最低要求30平方米，如不满足以上面积要求不具备比选资质；</w:t>
            </w:r>
            <w:r>
              <w:rPr>
                <w:rStyle w:val="8"/>
                <w:rFonts w:hint="default"/>
                <w:color w:val="auto"/>
                <w:sz w:val="21"/>
                <w:szCs w:val="21"/>
                <w:lang w:bidi="ar"/>
              </w:rPr>
              <w:t>仓库</w:t>
            </w:r>
            <w:r>
              <w:rPr>
                <w:rStyle w:val="8"/>
                <w:rFonts w:hint="eastAsia" w:eastAsia="方正仿宋_GBK"/>
                <w:color w:val="auto"/>
                <w:sz w:val="21"/>
                <w:szCs w:val="21"/>
                <w:lang w:val="en-US" w:eastAsia="zh-CN" w:bidi="ar"/>
              </w:rPr>
              <w:t>单项</w:t>
            </w:r>
            <w:r>
              <w:rPr>
                <w:rStyle w:val="8"/>
                <w:rFonts w:hint="default"/>
                <w:color w:val="auto"/>
                <w:sz w:val="21"/>
                <w:szCs w:val="21"/>
                <w:lang w:bidi="ar"/>
              </w:rPr>
              <w:t>可使用面积最大者得</w:t>
            </w:r>
            <w:r>
              <w:rPr>
                <w:rStyle w:val="8"/>
                <w:rFonts w:hint="eastAsia" w:eastAsia="方正仿宋_GBK"/>
                <w:color w:val="auto"/>
                <w:sz w:val="21"/>
                <w:szCs w:val="21"/>
                <w:lang w:val="en-US" w:eastAsia="zh-CN" w:bidi="ar"/>
              </w:rPr>
              <w:t>1.5</w:t>
            </w:r>
            <w:r>
              <w:rPr>
                <w:rStyle w:val="8"/>
                <w:rFonts w:hint="default"/>
                <w:color w:val="auto"/>
                <w:sz w:val="21"/>
                <w:szCs w:val="21"/>
                <w:lang w:bidi="ar"/>
              </w:rPr>
              <w:t>分，按照可使用面积由小到大依此扣</w:t>
            </w:r>
            <w:r>
              <w:rPr>
                <w:rStyle w:val="8"/>
                <w:rFonts w:hint="eastAsia" w:eastAsia="方正仿宋_GBK"/>
                <w:color w:val="auto"/>
                <w:sz w:val="21"/>
                <w:szCs w:val="21"/>
                <w:lang w:val="en-US" w:eastAsia="zh-CN" w:bidi="ar"/>
              </w:rPr>
              <w:t>0.5</w:t>
            </w:r>
            <w:r>
              <w:rPr>
                <w:rStyle w:val="8"/>
                <w:rFonts w:hint="default"/>
                <w:color w:val="auto"/>
                <w:sz w:val="21"/>
                <w:szCs w:val="21"/>
                <w:lang w:bidi="ar"/>
              </w:rPr>
              <w:t>分（需</w:t>
            </w:r>
            <w:r>
              <w:rPr>
                <w:rStyle w:val="8"/>
                <w:rFonts w:hint="eastAsia" w:eastAsia="方正仿宋_GBK"/>
                <w:color w:val="auto"/>
                <w:sz w:val="21"/>
                <w:szCs w:val="21"/>
                <w:lang w:val="en-US" w:eastAsia="zh-CN" w:bidi="ar"/>
              </w:rPr>
              <w:t>在比选文件中承诺并</w:t>
            </w:r>
            <w:r>
              <w:rPr>
                <w:rStyle w:val="8"/>
                <w:rFonts w:hint="default"/>
                <w:color w:val="auto"/>
                <w:sz w:val="21"/>
                <w:szCs w:val="21"/>
                <w:lang w:bidi="ar"/>
              </w:rPr>
              <w:t>提供</w:t>
            </w:r>
            <w:r>
              <w:rPr>
                <w:rStyle w:val="8"/>
                <w:rFonts w:hint="eastAsia" w:eastAsia="方正仿宋_GBK"/>
                <w:color w:val="auto"/>
                <w:sz w:val="21"/>
                <w:szCs w:val="21"/>
                <w:lang w:val="en-US" w:eastAsia="zh-CN" w:bidi="ar"/>
              </w:rPr>
              <w:t>最小可</w:t>
            </w:r>
            <w:r>
              <w:rPr>
                <w:rStyle w:val="8"/>
                <w:rFonts w:hint="default"/>
                <w:color w:val="auto"/>
                <w:sz w:val="21"/>
                <w:szCs w:val="21"/>
                <w:lang w:bidi="ar"/>
              </w:rPr>
              <w:t>使用面积</w:t>
            </w:r>
            <w:r>
              <w:rPr>
                <w:rStyle w:val="8"/>
                <w:rFonts w:hint="eastAsia" w:eastAsia="方正仿宋_GBK"/>
                <w:color w:val="auto"/>
                <w:sz w:val="21"/>
                <w:szCs w:val="21"/>
                <w:lang w:eastAsia="zh-CN" w:bidi="ar"/>
              </w:rPr>
              <w:t>）。</w:t>
            </w: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快递配备</w:t>
            </w:r>
          </w:p>
        </w:tc>
        <w:tc>
          <w:tcPr>
            <w:tcW w:w="90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4分</w:t>
            </w: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kern w:val="0"/>
                <w:szCs w:val="21"/>
                <w:lang w:val="en-US" w:eastAsia="zh-CN" w:bidi="ar"/>
              </w:rPr>
              <w:t>投标</w:t>
            </w:r>
            <w:r>
              <w:rPr>
                <w:rFonts w:hint="eastAsia" w:ascii="方正仿宋_GBK" w:hAnsi="方正仿宋_GBK" w:eastAsia="方正仿宋_GBK" w:cs="方正仿宋_GBK"/>
                <w:kern w:val="0"/>
                <w:szCs w:val="21"/>
                <w:lang w:bidi="ar"/>
              </w:rPr>
              <w:t>人提供本单位正在执行的快递服务合同，</w:t>
            </w:r>
            <w:r>
              <w:rPr>
                <w:rFonts w:hint="eastAsia" w:ascii="方正仿宋_GBK" w:hAnsi="方正仿宋_GBK" w:eastAsia="方正仿宋_GBK" w:cs="方正仿宋_GBK"/>
                <w:kern w:val="0"/>
                <w:szCs w:val="21"/>
                <w:lang w:val="en-US" w:eastAsia="zh-CN" w:bidi="ar"/>
              </w:rPr>
              <w:t>其中常温仓</w:t>
            </w:r>
            <w:r>
              <w:rPr>
                <w:rFonts w:hint="eastAsia" w:ascii="方正仿宋_GBK" w:hAnsi="方正仿宋_GBK" w:eastAsia="方正仿宋_GBK" w:cs="方正仿宋_GBK"/>
                <w:kern w:val="0"/>
                <w:szCs w:val="21"/>
                <w:lang w:bidi="ar"/>
              </w:rPr>
              <w:t>必须</w:t>
            </w:r>
            <w:r>
              <w:rPr>
                <w:rStyle w:val="8"/>
                <w:rFonts w:hint="default"/>
                <w:color w:val="auto"/>
                <w:sz w:val="21"/>
                <w:szCs w:val="21"/>
                <w:lang w:bidi="ar"/>
              </w:rPr>
              <w:t>具备中通发货能力，具备中通、圆通、申通、韵达、顺丰、京东主流快递发货能力</w:t>
            </w:r>
            <w:r>
              <w:rPr>
                <w:rStyle w:val="8"/>
                <w:rFonts w:hint="eastAsia" w:eastAsia="方正仿宋_GBK"/>
                <w:color w:val="auto"/>
                <w:sz w:val="21"/>
                <w:szCs w:val="21"/>
                <w:lang w:val="en-US" w:eastAsia="zh-CN" w:bidi="ar"/>
              </w:rPr>
              <w:t>4</w:t>
            </w:r>
            <w:r>
              <w:rPr>
                <w:rStyle w:val="8"/>
                <w:rFonts w:hint="default"/>
                <w:color w:val="auto"/>
                <w:sz w:val="21"/>
                <w:szCs w:val="21"/>
                <w:lang w:bidi="ar"/>
              </w:rPr>
              <w:t>个（含）以上得</w:t>
            </w:r>
            <w:r>
              <w:rPr>
                <w:rStyle w:val="8"/>
                <w:rFonts w:hint="eastAsia" w:eastAsia="方正仿宋_GBK"/>
                <w:color w:val="auto"/>
                <w:sz w:val="21"/>
                <w:szCs w:val="21"/>
                <w:lang w:val="en-US" w:eastAsia="zh-CN" w:bidi="ar"/>
              </w:rPr>
              <w:t>2</w:t>
            </w:r>
            <w:r>
              <w:rPr>
                <w:rStyle w:val="8"/>
                <w:rFonts w:hint="default"/>
                <w:color w:val="auto"/>
                <w:sz w:val="21"/>
                <w:szCs w:val="21"/>
                <w:lang w:bidi="ar"/>
              </w:rPr>
              <w:t>分，具备3（含）</w:t>
            </w:r>
            <w:r>
              <w:rPr>
                <w:rStyle w:val="8"/>
                <w:rFonts w:hint="eastAsia" w:eastAsia="方正仿宋_GBK"/>
                <w:color w:val="auto"/>
                <w:sz w:val="21"/>
                <w:szCs w:val="21"/>
                <w:lang w:val="en-US" w:eastAsia="zh-CN" w:bidi="ar"/>
              </w:rPr>
              <w:t>到4</w:t>
            </w:r>
            <w:r>
              <w:rPr>
                <w:rStyle w:val="8"/>
                <w:rFonts w:hint="default"/>
                <w:color w:val="auto"/>
                <w:sz w:val="21"/>
                <w:szCs w:val="21"/>
                <w:lang w:bidi="ar"/>
              </w:rPr>
              <w:t>（不含）个得</w:t>
            </w:r>
            <w:r>
              <w:rPr>
                <w:rStyle w:val="8"/>
                <w:rFonts w:hint="eastAsia" w:eastAsia="方正仿宋_GBK"/>
                <w:color w:val="auto"/>
                <w:sz w:val="21"/>
                <w:szCs w:val="21"/>
                <w:lang w:val="en-US" w:eastAsia="zh-CN" w:bidi="ar"/>
              </w:rPr>
              <w:t>1.5</w:t>
            </w:r>
            <w:r>
              <w:rPr>
                <w:rStyle w:val="8"/>
                <w:rFonts w:hint="default"/>
                <w:color w:val="auto"/>
                <w:sz w:val="21"/>
                <w:szCs w:val="21"/>
                <w:lang w:bidi="ar"/>
              </w:rPr>
              <w:t>分，具备3（不含）个以下得1分，不具备不得分</w:t>
            </w:r>
            <w:r>
              <w:rPr>
                <w:rStyle w:val="8"/>
                <w:rFonts w:hint="eastAsia" w:eastAsia="方正仿宋_GBK"/>
                <w:color w:val="auto"/>
                <w:sz w:val="21"/>
                <w:szCs w:val="21"/>
                <w:lang w:val="en-US" w:eastAsia="zh-CN" w:bidi="ar"/>
              </w:rPr>
              <w:t>；低温仓必须具备顺丰电商标快及顺丰冷运发货能力，同时具备得2分，不具备取消比选资格。</w:t>
            </w: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仓库运作及安全</w:t>
            </w:r>
          </w:p>
        </w:tc>
        <w:tc>
          <w:tcPr>
            <w:tcW w:w="90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bidi="ar"/>
              </w:rPr>
              <w:t>6</w:t>
            </w:r>
            <w:r>
              <w:rPr>
                <w:rFonts w:hint="eastAsia" w:ascii="方正仿宋_GBK" w:hAnsi="方正仿宋_GBK" w:eastAsia="方正仿宋_GBK" w:cs="方正仿宋_GBK"/>
                <w:kern w:val="0"/>
                <w:szCs w:val="21"/>
                <w:lang w:bidi="ar"/>
              </w:rPr>
              <w:t>分</w:t>
            </w: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通过仓库提供6S管理标准，有关仓库整理、整顿、清扫、清洁、素养、安全等六个方面，综合情况完善可行，最高得分</w:t>
            </w:r>
            <w:r>
              <w:rPr>
                <w:rFonts w:hint="eastAsia" w:ascii="方正仿宋_GBK" w:hAnsi="方正仿宋_GBK" w:eastAsia="方正仿宋_GBK" w:cs="方正仿宋_GBK"/>
                <w:kern w:val="0"/>
                <w:szCs w:val="21"/>
                <w:lang w:val="en-US" w:eastAsia="zh-CN" w:bidi="ar"/>
              </w:rPr>
              <w:t>6</w:t>
            </w:r>
            <w:r>
              <w:rPr>
                <w:rFonts w:hint="eastAsia" w:ascii="方正仿宋_GBK" w:hAnsi="方正仿宋_GBK" w:eastAsia="方正仿宋_GBK" w:cs="方正仿宋_GBK"/>
                <w:kern w:val="0"/>
                <w:szCs w:val="21"/>
                <w:lang w:bidi="ar"/>
              </w:rPr>
              <w:t>分</w:t>
            </w:r>
            <w:r>
              <w:rPr>
                <w:rStyle w:val="10"/>
                <w:rFonts w:hint="default"/>
                <w:color w:val="auto"/>
                <w:lang w:bidi="ar"/>
              </w:rPr>
              <w:t>（评分保留一位小数）</w:t>
            </w: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现场</w:t>
            </w:r>
            <w:r>
              <w:rPr>
                <w:rStyle w:val="8"/>
                <w:rFonts w:hint="default"/>
                <w:color w:val="auto"/>
                <w:sz w:val="21"/>
                <w:szCs w:val="21"/>
                <w:lang w:bidi="ar"/>
              </w:rPr>
              <w:t>考察</w:t>
            </w:r>
          </w:p>
        </w:tc>
        <w:tc>
          <w:tcPr>
            <w:tcW w:w="90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6分</w:t>
            </w: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kern w:val="0"/>
                <w:szCs w:val="21"/>
                <w:lang w:bidi="ar"/>
              </w:rPr>
              <w:t>评分小组</w:t>
            </w:r>
            <w:r>
              <w:rPr>
                <w:rFonts w:hint="eastAsia" w:ascii="方正仿宋_GBK" w:hAnsi="方正仿宋_GBK" w:eastAsia="方正仿宋_GBK" w:cs="方正仿宋_GBK"/>
                <w:kern w:val="0"/>
                <w:szCs w:val="21"/>
                <w:lang w:val="en-US" w:eastAsia="zh-CN" w:bidi="ar"/>
              </w:rPr>
              <w:t>根据“现场考察评分表”</w:t>
            </w:r>
            <w:r>
              <w:rPr>
                <w:rFonts w:hint="eastAsia" w:ascii="方正仿宋_GBK" w:hAnsi="方正仿宋_GBK" w:eastAsia="方正仿宋_GBK" w:cs="方正仿宋_GBK"/>
                <w:kern w:val="0"/>
                <w:szCs w:val="21"/>
                <w:lang w:bidi="ar"/>
              </w:rPr>
              <w:t>对仓库进行现场考察，从库房</w:t>
            </w:r>
            <w:r>
              <w:rPr>
                <w:rFonts w:hint="eastAsia" w:ascii="方正仿宋_GBK" w:hAnsi="方正仿宋_GBK" w:eastAsia="方正仿宋_GBK" w:cs="方正仿宋_GBK"/>
                <w:kern w:val="0"/>
                <w:szCs w:val="21"/>
                <w:lang w:val="en-US" w:eastAsia="zh-CN" w:bidi="ar"/>
              </w:rPr>
              <w:t>安全及</w:t>
            </w:r>
            <w:r>
              <w:rPr>
                <w:rFonts w:hint="eastAsia" w:ascii="方正仿宋_GBK" w:hAnsi="方正仿宋_GBK" w:eastAsia="方正仿宋_GBK" w:cs="方正仿宋_GBK"/>
                <w:kern w:val="0"/>
                <w:szCs w:val="21"/>
                <w:lang w:bidi="ar"/>
              </w:rPr>
              <w:t>环境情况、现场管理情况、制度建设情况、投标库房区域情况等方面进行考察</w:t>
            </w:r>
            <w:r>
              <w:rPr>
                <w:rFonts w:hint="eastAsia" w:ascii="方正仿宋_GBK" w:hAnsi="方正仿宋_GBK" w:eastAsia="方正仿宋_GBK" w:cs="方正仿宋_GBK"/>
                <w:kern w:val="0"/>
                <w:szCs w:val="21"/>
                <w:lang w:val="en-US" w:eastAsia="zh-CN" w:bidi="ar"/>
              </w:rPr>
              <w:t>并打分</w:t>
            </w:r>
            <w:r>
              <w:rPr>
                <w:rStyle w:val="8"/>
                <w:rFonts w:hint="default"/>
                <w:color w:val="auto"/>
                <w:sz w:val="21"/>
                <w:szCs w:val="21"/>
                <w:lang w:bidi="ar"/>
              </w:rPr>
              <w:t>（评分保留</w:t>
            </w:r>
            <w:r>
              <w:rPr>
                <w:rStyle w:val="8"/>
                <w:rFonts w:hint="eastAsia" w:eastAsia="方正仿宋_GBK"/>
                <w:color w:val="auto"/>
                <w:sz w:val="21"/>
                <w:szCs w:val="21"/>
                <w:lang w:val="en-US" w:eastAsia="zh-CN" w:bidi="ar"/>
              </w:rPr>
              <w:t>两</w:t>
            </w:r>
            <w:r>
              <w:rPr>
                <w:rStyle w:val="8"/>
                <w:rFonts w:hint="default"/>
                <w:color w:val="auto"/>
                <w:sz w:val="21"/>
                <w:szCs w:val="21"/>
                <w:lang w:bidi="ar"/>
              </w:rPr>
              <w:t>位小数）</w:t>
            </w:r>
            <w:r>
              <w:rPr>
                <w:rStyle w:val="8"/>
                <w:rFonts w:hint="eastAsia" w:eastAsia="方正仿宋_GBK"/>
                <w:color w:val="auto"/>
                <w:sz w:val="21"/>
                <w:szCs w:val="21"/>
                <w:lang w:eastAsia="zh-CN" w:bidi="ar"/>
              </w:rPr>
              <w:t>。</w:t>
            </w:r>
          </w:p>
        </w:tc>
      </w:tr>
      <w:tr>
        <w:tblPrEx>
          <w:tblCellMar>
            <w:top w:w="0" w:type="dxa"/>
            <w:left w:w="0" w:type="dxa"/>
            <w:bottom w:w="0" w:type="dxa"/>
            <w:right w:w="0" w:type="dxa"/>
          </w:tblCellMar>
        </w:tblPrEx>
        <w:trPr>
          <w:trHeight w:val="454" w:hRule="atLeast"/>
        </w:trPr>
        <w:tc>
          <w:tcPr>
            <w:tcW w:w="909"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2</w:t>
            </w:r>
          </w:p>
        </w:tc>
        <w:tc>
          <w:tcPr>
            <w:tcW w:w="909"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技术服务部分</w:t>
            </w:r>
          </w:p>
        </w:tc>
        <w:tc>
          <w:tcPr>
            <w:tcW w:w="721"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1</w:t>
            </w:r>
            <w:r>
              <w:rPr>
                <w:rFonts w:hint="eastAsia" w:ascii="方正仿宋_GBK" w:hAnsi="方正仿宋_GBK" w:eastAsia="方正仿宋_GBK" w:cs="方正仿宋_GBK"/>
                <w:kern w:val="0"/>
                <w:szCs w:val="21"/>
                <w:lang w:val="en-US" w:eastAsia="zh-CN" w:bidi="ar"/>
              </w:rPr>
              <w:t>2</w:t>
            </w:r>
            <w:r>
              <w:rPr>
                <w:rFonts w:hint="eastAsia" w:ascii="方正仿宋_GBK" w:hAnsi="方正仿宋_GBK" w:eastAsia="方正仿宋_GBK" w:cs="方正仿宋_GBK"/>
                <w:kern w:val="0"/>
                <w:szCs w:val="21"/>
                <w:lang w:bidi="ar"/>
              </w:rPr>
              <w:t>分</w:t>
            </w:r>
          </w:p>
        </w:tc>
        <w:tc>
          <w:tcPr>
            <w:tcW w:w="1097"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时效性</w:t>
            </w:r>
          </w:p>
        </w:tc>
        <w:tc>
          <w:tcPr>
            <w:tcW w:w="909"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bidi="ar"/>
              </w:rPr>
              <w:t>6</w:t>
            </w:r>
            <w:r>
              <w:rPr>
                <w:rFonts w:hint="eastAsia" w:ascii="方正仿宋_GBK" w:hAnsi="方正仿宋_GBK" w:eastAsia="方正仿宋_GBK" w:cs="方正仿宋_GBK"/>
                <w:kern w:val="0"/>
                <w:szCs w:val="21"/>
                <w:lang w:bidi="ar"/>
              </w:rPr>
              <w:t>分</w:t>
            </w:r>
          </w:p>
        </w:tc>
        <w:tc>
          <w:tcPr>
            <w:tcW w:w="4193"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根据仓库承诺时效评分，入库时间</w:t>
            </w:r>
            <w:r>
              <w:rPr>
                <w:rStyle w:val="8"/>
                <w:rFonts w:hint="eastAsia" w:eastAsia="方正仿宋_GBK"/>
                <w:color w:val="auto"/>
                <w:sz w:val="21"/>
                <w:szCs w:val="21"/>
                <w:lang w:val="en-US" w:eastAsia="zh-CN" w:bidi="ar"/>
              </w:rPr>
              <w:t>2</w:t>
            </w:r>
            <w:r>
              <w:rPr>
                <w:rStyle w:val="8"/>
                <w:rFonts w:hint="default"/>
                <w:color w:val="auto"/>
                <w:sz w:val="21"/>
                <w:szCs w:val="21"/>
                <w:lang w:bidi="ar"/>
              </w:rPr>
              <w:t>分、发货揽收时长</w:t>
            </w:r>
            <w:r>
              <w:rPr>
                <w:rStyle w:val="8"/>
                <w:rFonts w:hint="eastAsia" w:eastAsia="方正仿宋_GBK"/>
                <w:color w:val="auto"/>
                <w:sz w:val="21"/>
                <w:szCs w:val="21"/>
                <w:lang w:val="en-US" w:eastAsia="zh-CN" w:bidi="ar"/>
              </w:rPr>
              <w:t>2</w:t>
            </w:r>
            <w:r>
              <w:rPr>
                <w:rStyle w:val="8"/>
                <w:rFonts w:hint="default"/>
                <w:color w:val="auto"/>
                <w:sz w:val="21"/>
                <w:szCs w:val="21"/>
                <w:lang w:bidi="ar"/>
              </w:rPr>
              <w:t>分、售后响应时长</w:t>
            </w:r>
            <w:r>
              <w:rPr>
                <w:rStyle w:val="8"/>
                <w:rFonts w:hint="eastAsia" w:eastAsia="方正仿宋_GBK"/>
                <w:color w:val="auto"/>
                <w:sz w:val="21"/>
                <w:szCs w:val="21"/>
                <w:lang w:val="en-US" w:eastAsia="zh-CN" w:bidi="ar"/>
              </w:rPr>
              <w:t>2</w:t>
            </w:r>
            <w:r>
              <w:rPr>
                <w:rStyle w:val="8"/>
                <w:rFonts w:hint="default"/>
                <w:color w:val="auto"/>
                <w:sz w:val="21"/>
                <w:szCs w:val="21"/>
                <w:lang w:bidi="ar"/>
              </w:rPr>
              <w:t>分，单项承诺指标时间最短者单项得满分，由短到长依次扣</w:t>
            </w:r>
            <w:r>
              <w:rPr>
                <w:rStyle w:val="8"/>
                <w:rFonts w:hint="eastAsia" w:eastAsia="方正仿宋_GBK"/>
                <w:color w:val="auto"/>
                <w:sz w:val="21"/>
                <w:szCs w:val="21"/>
                <w:lang w:val="en-US" w:eastAsia="zh-CN" w:bidi="ar"/>
              </w:rPr>
              <w:t>0.5</w:t>
            </w:r>
            <w:r>
              <w:rPr>
                <w:rStyle w:val="8"/>
                <w:rFonts w:hint="default"/>
                <w:color w:val="auto"/>
                <w:sz w:val="21"/>
                <w:szCs w:val="21"/>
                <w:lang w:bidi="ar"/>
              </w:rPr>
              <w:t>分，扣完为止（需提供各项指标承诺函，后期签订合同时纳入考核）</w:t>
            </w: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4193"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left"/>
              <w:rPr>
                <w:rFonts w:hint="eastAsia" w:ascii="方正仿宋_GBK" w:hAnsi="方正仿宋_GBK" w:eastAsia="方正仿宋_GBK" w:cs="方正仿宋_GBK"/>
                <w:szCs w:val="21"/>
              </w:rPr>
            </w:pP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i/>
                <w:szCs w:val="21"/>
              </w:rPr>
            </w:pPr>
            <w:r>
              <w:rPr>
                <w:rFonts w:hint="eastAsia" w:ascii="方正仿宋_GBK" w:hAnsi="方正仿宋_GBK" w:eastAsia="方正仿宋_GBK" w:cs="方正仿宋_GBK"/>
                <w:i/>
                <w:kern w:val="0"/>
                <w:szCs w:val="21"/>
                <w:lang w:bidi="ar"/>
              </w:rPr>
              <w:t>服务质量与能力</w:t>
            </w:r>
          </w:p>
        </w:tc>
        <w:tc>
          <w:tcPr>
            <w:tcW w:w="90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bidi="ar"/>
              </w:rPr>
              <w:t>6</w:t>
            </w:r>
            <w:r>
              <w:rPr>
                <w:rFonts w:hint="eastAsia" w:ascii="方正仿宋_GBK" w:hAnsi="方正仿宋_GBK" w:eastAsia="方正仿宋_GBK" w:cs="方正仿宋_GBK"/>
                <w:kern w:val="0"/>
                <w:szCs w:val="21"/>
                <w:lang w:bidi="ar"/>
              </w:rPr>
              <w:t>分</w:t>
            </w: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根据仓库承诺指标评分，库存差异率</w:t>
            </w:r>
            <w:r>
              <w:rPr>
                <w:rStyle w:val="8"/>
                <w:rFonts w:hint="eastAsia" w:eastAsia="方正仿宋_GBK"/>
                <w:color w:val="auto"/>
                <w:sz w:val="21"/>
                <w:szCs w:val="21"/>
                <w:lang w:val="en-US" w:eastAsia="zh-CN" w:bidi="ar"/>
              </w:rPr>
              <w:t>2</w:t>
            </w:r>
            <w:r>
              <w:rPr>
                <w:rStyle w:val="8"/>
                <w:rFonts w:hint="default"/>
                <w:color w:val="auto"/>
                <w:sz w:val="21"/>
                <w:szCs w:val="21"/>
                <w:lang w:bidi="ar"/>
              </w:rPr>
              <w:t>分、发货错误率</w:t>
            </w:r>
            <w:r>
              <w:rPr>
                <w:rStyle w:val="8"/>
                <w:rFonts w:hint="eastAsia" w:eastAsia="方正仿宋_GBK"/>
                <w:color w:val="auto"/>
                <w:sz w:val="21"/>
                <w:szCs w:val="21"/>
                <w:lang w:val="en-US" w:eastAsia="zh-CN" w:bidi="ar"/>
              </w:rPr>
              <w:t>2</w:t>
            </w:r>
            <w:r>
              <w:rPr>
                <w:rStyle w:val="8"/>
                <w:rFonts w:hint="default"/>
                <w:color w:val="auto"/>
                <w:sz w:val="21"/>
                <w:szCs w:val="21"/>
                <w:lang w:bidi="ar"/>
              </w:rPr>
              <w:t>分、货品破损率指标</w:t>
            </w:r>
            <w:r>
              <w:rPr>
                <w:rStyle w:val="8"/>
                <w:rFonts w:hint="eastAsia" w:eastAsia="方正仿宋_GBK"/>
                <w:color w:val="auto"/>
                <w:sz w:val="21"/>
                <w:szCs w:val="21"/>
                <w:lang w:val="en-US" w:eastAsia="zh-CN" w:bidi="ar"/>
              </w:rPr>
              <w:t>2</w:t>
            </w:r>
            <w:r>
              <w:rPr>
                <w:rStyle w:val="8"/>
                <w:rFonts w:hint="default"/>
                <w:color w:val="auto"/>
                <w:sz w:val="21"/>
                <w:szCs w:val="21"/>
                <w:lang w:bidi="ar"/>
              </w:rPr>
              <w:t>分，单项承诺指标最低者得满分，由低到高依次扣</w:t>
            </w:r>
            <w:r>
              <w:rPr>
                <w:rStyle w:val="8"/>
                <w:rFonts w:hint="eastAsia" w:eastAsia="方正仿宋_GBK"/>
                <w:color w:val="auto"/>
                <w:sz w:val="21"/>
                <w:szCs w:val="21"/>
                <w:lang w:val="en-US" w:eastAsia="zh-CN" w:bidi="ar"/>
              </w:rPr>
              <w:t>0.5</w:t>
            </w:r>
            <w:r>
              <w:rPr>
                <w:rStyle w:val="8"/>
                <w:rFonts w:hint="default"/>
                <w:color w:val="auto"/>
                <w:sz w:val="21"/>
                <w:szCs w:val="21"/>
                <w:lang w:bidi="ar"/>
              </w:rPr>
              <w:t>分（发货错误率=当月准确发货的订单数/当月应发订单总数*100%，货品破损率=当月发生的累计破损量/累计操作量*100%，库存差异率=（当月盘盈件数+当月盘亏件数的绝对值）/（月初库存件数+当月新入库件数））（</w:t>
            </w:r>
            <w:r>
              <w:rPr>
                <w:rStyle w:val="8"/>
                <w:rFonts w:hint="eastAsia" w:eastAsia="方正仿宋_GBK"/>
                <w:color w:val="auto"/>
                <w:sz w:val="21"/>
                <w:szCs w:val="21"/>
                <w:lang w:val="en-US" w:eastAsia="zh-CN" w:bidi="ar"/>
              </w:rPr>
              <w:t>填制服务质量能力</w:t>
            </w:r>
            <w:r>
              <w:rPr>
                <w:rStyle w:val="8"/>
                <w:rFonts w:hint="default"/>
                <w:color w:val="auto"/>
                <w:sz w:val="21"/>
                <w:szCs w:val="21"/>
                <w:lang w:bidi="ar"/>
              </w:rPr>
              <w:t>指标承诺</w:t>
            </w:r>
            <w:r>
              <w:rPr>
                <w:rStyle w:val="8"/>
                <w:rFonts w:hint="eastAsia" w:eastAsia="方正仿宋_GBK"/>
                <w:color w:val="auto"/>
                <w:sz w:val="21"/>
                <w:szCs w:val="21"/>
                <w:lang w:val="en-US" w:eastAsia="zh-CN" w:bidi="ar"/>
              </w:rPr>
              <w:t>表（见合同附件1）</w:t>
            </w:r>
            <w:r>
              <w:rPr>
                <w:rStyle w:val="8"/>
                <w:rFonts w:hint="default"/>
                <w:color w:val="auto"/>
                <w:sz w:val="21"/>
                <w:szCs w:val="21"/>
                <w:lang w:bidi="ar"/>
              </w:rPr>
              <w:t>，后期签订合同时纳入考核，）</w:t>
            </w:r>
          </w:p>
        </w:tc>
      </w:tr>
      <w:tr>
        <w:tblPrEx>
          <w:tblCellMar>
            <w:top w:w="0" w:type="dxa"/>
            <w:left w:w="0" w:type="dxa"/>
            <w:bottom w:w="0" w:type="dxa"/>
            <w:right w:w="0" w:type="dxa"/>
          </w:tblCellMar>
        </w:tblPrEx>
        <w:trPr>
          <w:trHeight w:val="454" w:hRule="atLeast"/>
        </w:trPr>
        <w:tc>
          <w:tcPr>
            <w:tcW w:w="909"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3</w:t>
            </w:r>
          </w:p>
        </w:tc>
        <w:tc>
          <w:tcPr>
            <w:tcW w:w="909"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价格部分</w:t>
            </w:r>
          </w:p>
        </w:tc>
        <w:tc>
          <w:tcPr>
            <w:tcW w:w="721"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bidi="ar"/>
              </w:rPr>
              <w:t>64</w:t>
            </w:r>
            <w:r>
              <w:rPr>
                <w:rFonts w:hint="eastAsia" w:ascii="方正仿宋_GBK" w:hAnsi="方正仿宋_GBK" w:eastAsia="方正仿宋_GBK" w:cs="方正仿宋_GBK"/>
                <w:kern w:val="0"/>
                <w:szCs w:val="21"/>
                <w:lang w:bidi="ar"/>
              </w:rPr>
              <w:t>分</w:t>
            </w:r>
          </w:p>
        </w:tc>
        <w:tc>
          <w:tcPr>
            <w:tcW w:w="109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仓储租金</w:t>
            </w:r>
          </w:p>
        </w:tc>
        <w:tc>
          <w:tcPr>
            <w:tcW w:w="90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bidi="ar"/>
              </w:rPr>
              <w:t>3.1</w:t>
            </w:r>
            <w:r>
              <w:rPr>
                <w:rFonts w:hint="eastAsia" w:ascii="方正仿宋_GBK" w:hAnsi="方正仿宋_GBK" w:eastAsia="方正仿宋_GBK" w:cs="方正仿宋_GBK"/>
                <w:kern w:val="0"/>
                <w:szCs w:val="21"/>
                <w:lang w:bidi="ar"/>
              </w:rPr>
              <w:t>分</w:t>
            </w: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kern w:val="0"/>
                <w:szCs w:val="21"/>
                <w:highlight w:val="none"/>
                <w:lang w:bidi="ar"/>
              </w:rPr>
              <w:t>根据仓储租金报价情况，</w:t>
            </w:r>
            <w:r>
              <w:rPr>
                <w:rFonts w:hint="eastAsia" w:ascii="方正仿宋_GBK" w:hAnsi="方正仿宋_GBK" w:eastAsia="方正仿宋_GBK" w:cs="方正仿宋_GBK"/>
                <w:kern w:val="0"/>
                <w:szCs w:val="21"/>
                <w:highlight w:val="none"/>
                <w:lang w:val="en-US" w:eastAsia="zh-CN" w:bidi="ar"/>
              </w:rPr>
              <w:t>常温仓报价占1.9分，</w:t>
            </w:r>
            <w:r>
              <w:rPr>
                <w:rFonts w:hint="eastAsia" w:ascii="方正仿宋_GBK" w:hAnsi="方正仿宋_GBK" w:eastAsia="方正仿宋_GBK" w:cs="方正仿宋_GBK"/>
                <w:color w:val="auto"/>
                <w:kern w:val="0"/>
                <w:szCs w:val="21"/>
                <w:highlight w:val="none"/>
                <w:lang w:bidi="ar"/>
              </w:rPr>
              <w:t>按照报价最低者得满分，价格由低到高依次扣</w:t>
            </w:r>
            <w:r>
              <w:rPr>
                <w:rFonts w:hint="eastAsia" w:ascii="方正仿宋_GBK" w:hAnsi="方正仿宋_GBK" w:eastAsia="方正仿宋_GBK" w:cs="方正仿宋_GBK"/>
                <w:color w:val="auto"/>
                <w:kern w:val="0"/>
                <w:szCs w:val="21"/>
                <w:highlight w:val="none"/>
                <w:lang w:val="en-US" w:eastAsia="zh-CN" w:bidi="ar"/>
              </w:rPr>
              <w:t>0.38</w:t>
            </w:r>
            <w:r>
              <w:rPr>
                <w:rFonts w:hint="eastAsia" w:ascii="方正仿宋_GBK" w:hAnsi="方正仿宋_GBK" w:eastAsia="方正仿宋_GBK" w:cs="方正仿宋_GBK"/>
                <w:color w:val="auto"/>
                <w:kern w:val="0"/>
                <w:szCs w:val="21"/>
                <w:highlight w:val="none"/>
                <w:lang w:bidi="ar"/>
              </w:rPr>
              <w:t>分，扣完为止</w:t>
            </w:r>
            <w:r>
              <w:rPr>
                <w:rFonts w:hint="eastAsia" w:ascii="方正仿宋_GBK" w:hAnsi="方正仿宋_GBK" w:eastAsia="方正仿宋_GBK" w:cs="方正仿宋_GBK"/>
                <w:color w:val="auto"/>
                <w:kern w:val="0"/>
                <w:szCs w:val="21"/>
                <w:highlight w:val="none"/>
                <w:lang w:val="en-US" w:eastAsia="zh-CN" w:bidi="ar"/>
              </w:rPr>
              <w:t>；</w:t>
            </w:r>
            <w:r>
              <w:rPr>
                <w:rFonts w:hint="eastAsia" w:ascii="方正仿宋_GBK" w:hAnsi="方正仿宋_GBK" w:eastAsia="方正仿宋_GBK" w:cs="方正仿宋_GBK"/>
                <w:kern w:val="0"/>
                <w:szCs w:val="21"/>
                <w:highlight w:val="none"/>
                <w:lang w:val="en-US" w:eastAsia="zh-CN" w:bidi="ar"/>
              </w:rPr>
              <w:t>低温仓报价占1.2分，</w:t>
            </w:r>
            <w:r>
              <w:rPr>
                <w:rFonts w:hint="eastAsia" w:ascii="方正仿宋_GBK" w:hAnsi="方正仿宋_GBK" w:eastAsia="方正仿宋_GBK" w:cs="方正仿宋_GBK"/>
                <w:color w:val="auto"/>
                <w:kern w:val="0"/>
                <w:szCs w:val="21"/>
                <w:highlight w:val="none"/>
                <w:lang w:bidi="ar"/>
              </w:rPr>
              <w:t>按照报价最低者得满分，价格由低到高依次扣</w:t>
            </w:r>
            <w:r>
              <w:rPr>
                <w:rFonts w:hint="eastAsia" w:ascii="方正仿宋_GBK" w:hAnsi="方正仿宋_GBK" w:eastAsia="方正仿宋_GBK" w:cs="方正仿宋_GBK"/>
                <w:color w:val="auto"/>
                <w:kern w:val="0"/>
                <w:szCs w:val="21"/>
                <w:highlight w:val="none"/>
                <w:lang w:val="en-US" w:eastAsia="zh-CN" w:bidi="ar"/>
              </w:rPr>
              <w:t>0.24</w:t>
            </w:r>
            <w:r>
              <w:rPr>
                <w:rFonts w:hint="eastAsia" w:ascii="方正仿宋_GBK" w:hAnsi="方正仿宋_GBK" w:eastAsia="方正仿宋_GBK" w:cs="方正仿宋_GBK"/>
                <w:color w:val="auto"/>
                <w:kern w:val="0"/>
                <w:szCs w:val="21"/>
                <w:highlight w:val="none"/>
                <w:lang w:bidi="ar"/>
              </w:rPr>
              <w:t>分，扣完为止</w:t>
            </w:r>
            <w:r>
              <w:rPr>
                <w:rFonts w:hint="eastAsia" w:ascii="方正仿宋_GBK" w:hAnsi="方正仿宋_GBK" w:eastAsia="方正仿宋_GBK" w:cs="方正仿宋_GBK"/>
                <w:color w:val="auto"/>
                <w:kern w:val="0"/>
                <w:szCs w:val="21"/>
                <w:highlight w:val="none"/>
                <w:lang w:val="en-US" w:eastAsia="zh-CN" w:bidi="ar"/>
              </w:rPr>
              <w:t>；</w:t>
            </w: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val="en-US" w:eastAsia="zh-CN" w:bidi="ar"/>
              </w:rPr>
              <w:t>仓库代采耗材</w:t>
            </w:r>
          </w:p>
        </w:tc>
        <w:tc>
          <w:tcPr>
            <w:tcW w:w="90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default" w:ascii="方正仿宋_GBK" w:hAnsi="方正仿宋_GBK" w:eastAsia="方正仿宋_GBK" w:cs="方正仿宋_GBK"/>
                <w:kern w:val="0"/>
                <w:szCs w:val="21"/>
                <w:lang w:val="en-US" w:eastAsia="zh-CN" w:bidi="ar"/>
              </w:rPr>
            </w:pPr>
            <w:r>
              <w:rPr>
                <w:rFonts w:hint="eastAsia" w:ascii="方正仿宋_GBK" w:hAnsi="方正仿宋_GBK" w:eastAsia="方正仿宋_GBK" w:cs="方正仿宋_GBK"/>
                <w:kern w:val="0"/>
                <w:szCs w:val="21"/>
                <w:lang w:val="en-US" w:eastAsia="zh-CN" w:bidi="ar"/>
              </w:rPr>
              <w:t>3分</w:t>
            </w: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default" w:ascii="方正仿宋_GBK" w:hAnsi="方正仿宋_GBK" w:eastAsia="方正仿宋_GBK" w:cs="方正仿宋_GBK"/>
                <w:color w:val="auto"/>
                <w:kern w:val="0"/>
                <w:szCs w:val="21"/>
                <w:lang w:val="en-US" w:eastAsia="zh-CN" w:bidi="ar"/>
              </w:rPr>
            </w:pPr>
            <w:r>
              <w:rPr>
                <w:rFonts w:hint="eastAsia" w:ascii="方正仿宋_GBK" w:hAnsi="方正仿宋_GBK" w:eastAsia="方正仿宋_GBK" w:cs="方正仿宋_GBK"/>
                <w:color w:val="auto"/>
                <w:kern w:val="0"/>
                <w:szCs w:val="21"/>
                <w:lang w:val="en-US" w:eastAsia="zh-CN" w:bidi="ar"/>
              </w:rPr>
              <w:t>仓库代采耗材不计算仓储面积得3分，计算面积得0分。</w:t>
            </w: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快递报价</w:t>
            </w:r>
          </w:p>
        </w:tc>
        <w:tc>
          <w:tcPr>
            <w:tcW w:w="90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Style w:val="8"/>
                <w:rFonts w:hint="eastAsia" w:eastAsia="方正仿宋_GBK"/>
                <w:color w:val="auto"/>
                <w:sz w:val="21"/>
                <w:szCs w:val="21"/>
                <w:lang w:val="en-US" w:eastAsia="zh-CN" w:bidi="ar"/>
              </w:rPr>
              <w:t>30.8</w:t>
            </w:r>
            <w:r>
              <w:rPr>
                <w:rStyle w:val="8"/>
                <w:rFonts w:hint="default"/>
                <w:color w:val="auto"/>
                <w:sz w:val="21"/>
                <w:szCs w:val="21"/>
                <w:lang w:bidi="ar"/>
              </w:rPr>
              <w:t>分</w:t>
            </w: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kern w:val="0"/>
                <w:szCs w:val="21"/>
                <w:lang w:val="en-US" w:eastAsia="zh-CN" w:bidi="ar"/>
              </w:rPr>
              <w:t>常温仓</w:t>
            </w:r>
            <w:r>
              <w:rPr>
                <w:rFonts w:hint="eastAsia" w:ascii="方正仿宋_GBK" w:hAnsi="方正仿宋_GBK" w:eastAsia="方正仿宋_GBK" w:cs="方正仿宋_GBK"/>
                <w:color w:val="auto"/>
                <w:kern w:val="0"/>
                <w:szCs w:val="21"/>
                <w:lang w:bidi="ar"/>
              </w:rPr>
              <w:t>以中通快递报价为评分基准</w:t>
            </w:r>
            <w:r>
              <w:rPr>
                <w:rFonts w:hint="eastAsia" w:ascii="方正仿宋_GBK" w:hAnsi="方正仿宋_GBK" w:eastAsia="方正仿宋_GBK" w:cs="方正仿宋_GBK"/>
                <w:color w:val="auto"/>
                <w:kern w:val="0"/>
                <w:szCs w:val="21"/>
                <w:lang w:eastAsia="zh-CN" w:bidi="ar"/>
              </w:rPr>
              <w:t>，</w:t>
            </w:r>
            <w:r>
              <w:rPr>
                <w:rFonts w:hint="eastAsia" w:ascii="方正仿宋_GBK" w:hAnsi="方正仿宋_GBK" w:eastAsia="方正仿宋_GBK" w:cs="方正仿宋_GBK"/>
                <w:color w:val="auto"/>
                <w:kern w:val="0"/>
                <w:szCs w:val="21"/>
                <w:lang w:val="en-US" w:eastAsia="zh-CN" w:bidi="ar"/>
              </w:rPr>
              <w:t>合计13.6分；低温仓以顺丰电商标快报价为评分基准，合计17.2</w:t>
            </w:r>
            <w:r>
              <w:rPr>
                <w:rFonts w:hint="eastAsia" w:ascii="方正仿宋_GBK" w:hAnsi="方正仿宋_GBK" w:eastAsia="方正仿宋_GBK" w:cs="方正仿宋_GBK"/>
                <w:color w:val="auto"/>
                <w:kern w:val="0"/>
                <w:szCs w:val="21"/>
                <w:lang w:bidi="ar"/>
              </w:rPr>
              <w:t>（其余各项快递报价仅做参考，不做评分，</w:t>
            </w:r>
            <w:r>
              <w:rPr>
                <w:rFonts w:hint="eastAsia" w:ascii="方正仿宋_GBK" w:hAnsi="方正仿宋_GBK" w:eastAsia="方正仿宋_GBK" w:cs="方正仿宋_GBK"/>
                <w:color w:val="auto"/>
                <w:kern w:val="0"/>
                <w:szCs w:val="21"/>
                <w:lang w:eastAsia="zh-CN" w:bidi="ar"/>
              </w:rPr>
              <w:t>（</w:t>
            </w:r>
            <w:r>
              <w:rPr>
                <w:rFonts w:hint="eastAsia" w:ascii="方正仿宋_GBK" w:hAnsi="方正仿宋_GBK" w:eastAsia="方正仿宋_GBK" w:cs="方正仿宋_GBK"/>
                <w:color w:val="auto"/>
                <w:kern w:val="0"/>
                <w:szCs w:val="21"/>
                <w:lang w:bidi="ar"/>
              </w:rPr>
              <w:t>详情见</w:t>
            </w:r>
            <w:r>
              <w:rPr>
                <w:rFonts w:hint="eastAsia" w:ascii="方正仿宋_GBK" w:hAnsi="方正仿宋_GBK" w:eastAsia="方正仿宋_GBK" w:cs="方正仿宋_GBK"/>
                <w:color w:val="auto"/>
                <w:kern w:val="0"/>
                <w:szCs w:val="21"/>
                <w:lang w:val="en-US" w:eastAsia="zh-CN" w:bidi="ar"/>
              </w:rPr>
              <w:t>常温</w:t>
            </w:r>
            <w:r>
              <w:rPr>
                <w:rFonts w:hint="eastAsia" w:ascii="方正仿宋_GBK" w:hAnsi="方正仿宋_GBK" w:eastAsia="方正仿宋_GBK" w:cs="方正仿宋_GBK"/>
                <w:color w:val="auto"/>
                <w:kern w:val="0"/>
                <w:szCs w:val="21"/>
                <w:lang w:bidi="ar"/>
              </w:rPr>
              <w:t>快递报价单</w:t>
            </w:r>
            <w:r>
              <w:rPr>
                <w:rFonts w:hint="eastAsia" w:ascii="方正仿宋_GBK" w:hAnsi="方正仿宋_GBK" w:eastAsia="方正仿宋_GBK" w:cs="方正仿宋_GBK"/>
                <w:color w:val="auto"/>
                <w:kern w:val="0"/>
                <w:szCs w:val="21"/>
                <w:lang w:eastAsia="zh-CN" w:bidi="ar"/>
              </w:rPr>
              <w:t>、</w:t>
            </w:r>
            <w:r>
              <w:rPr>
                <w:rFonts w:hint="eastAsia" w:ascii="方正仿宋_GBK" w:hAnsi="方正仿宋_GBK" w:eastAsia="方正仿宋_GBK" w:cs="方正仿宋_GBK"/>
                <w:color w:val="auto"/>
                <w:kern w:val="0"/>
                <w:szCs w:val="21"/>
                <w:lang w:val="en-US" w:eastAsia="zh-CN" w:bidi="ar"/>
              </w:rPr>
              <w:t>低温快递报价单</w:t>
            </w:r>
            <w:r>
              <w:rPr>
                <w:rFonts w:hint="eastAsia" w:ascii="方正仿宋_GBK" w:hAnsi="方正仿宋_GBK" w:eastAsia="方正仿宋_GBK" w:cs="方正仿宋_GBK"/>
                <w:color w:val="auto"/>
                <w:kern w:val="0"/>
                <w:szCs w:val="21"/>
                <w:lang w:bidi="ar"/>
              </w:rPr>
              <w:t>）。</w:t>
            </w: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kern w:val="0"/>
                <w:szCs w:val="21"/>
                <w:highlight w:val="none"/>
                <w:lang w:bidi="ar"/>
              </w:rPr>
              <w:t>出库操作费</w:t>
            </w:r>
          </w:p>
        </w:tc>
        <w:tc>
          <w:tcPr>
            <w:tcW w:w="909"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kern w:val="0"/>
                <w:szCs w:val="21"/>
                <w:highlight w:val="none"/>
                <w:lang w:val="en-US" w:eastAsia="zh-CN" w:bidi="ar"/>
              </w:rPr>
              <w:t>7.4</w:t>
            </w:r>
            <w:r>
              <w:rPr>
                <w:rFonts w:hint="eastAsia" w:ascii="方正仿宋_GBK" w:hAnsi="方正仿宋_GBK" w:eastAsia="方正仿宋_GBK" w:cs="方正仿宋_GBK"/>
                <w:kern w:val="0"/>
                <w:szCs w:val="21"/>
                <w:highlight w:val="none"/>
                <w:lang w:bidi="ar"/>
              </w:rPr>
              <w:t>分</w:t>
            </w:r>
          </w:p>
        </w:tc>
        <w:tc>
          <w:tcPr>
            <w:tcW w:w="4193" w:type="dxa"/>
            <w:tcBorders>
              <w:top w:val="nil"/>
              <w:left w:val="nil"/>
              <w:bottom w:val="nil"/>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kern w:val="0"/>
                <w:szCs w:val="21"/>
                <w:highlight w:val="none"/>
                <w:lang w:bidi="ar"/>
              </w:rPr>
              <w:t>1、</w:t>
            </w:r>
            <w:r>
              <w:rPr>
                <w:rFonts w:hint="eastAsia" w:ascii="方正仿宋_GBK" w:hAnsi="方正仿宋_GBK" w:eastAsia="方正仿宋_GBK" w:cs="方正仿宋_GBK"/>
                <w:color w:val="auto"/>
                <w:kern w:val="0"/>
                <w:szCs w:val="21"/>
                <w:highlight w:val="none"/>
                <w:lang w:val="en-US" w:eastAsia="zh-CN" w:bidi="ar"/>
              </w:rPr>
              <w:t>常温仓</w:t>
            </w:r>
            <w:r>
              <w:rPr>
                <w:rFonts w:hint="eastAsia" w:ascii="方正仿宋_GBK" w:hAnsi="方正仿宋_GBK" w:eastAsia="方正仿宋_GBK" w:cs="方正仿宋_GBK"/>
                <w:color w:val="auto"/>
                <w:kern w:val="0"/>
                <w:szCs w:val="21"/>
                <w:highlight w:val="none"/>
                <w:lang w:bidi="ar"/>
              </w:rPr>
              <w:t>B2C出库操作费报价占</w:t>
            </w:r>
            <w:r>
              <w:rPr>
                <w:rFonts w:hint="eastAsia" w:ascii="方正仿宋_GBK" w:hAnsi="方正仿宋_GBK" w:eastAsia="方正仿宋_GBK" w:cs="方正仿宋_GBK"/>
                <w:color w:val="auto"/>
                <w:kern w:val="0"/>
                <w:szCs w:val="21"/>
                <w:highlight w:val="none"/>
                <w:lang w:val="en-US" w:eastAsia="zh-CN" w:bidi="ar"/>
              </w:rPr>
              <w:t>3.9</w:t>
            </w:r>
            <w:r>
              <w:rPr>
                <w:rFonts w:hint="eastAsia" w:ascii="方正仿宋_GBK" w:hAnsi="方正仿宋_GBK" w:eastAsia="方正仿宋_GBK" w:cs="方正仿宋_GBK"/>
                <w:color w:val="auto"/>
                <w:kern w:val="0"/>
                <w:szCs w:val="21"/>
                <w:highlight w:val="none"/>
                <w:lang w:bidi="ar"/>
              </w:rPr>
              <w:t>分，按照报价最低者得满分，价格由低到高依次扣</w:t>
            </w:r>
            <w:r>
              <w:rPr>
                <w:rFonts w:hint="eastAsia" w:ascii="方正仿宋_GBK" w:hAnsi="方正仿宋_GBK" w:eastAsia="方正仿宋_GBK" w:cs="方正仿宋_GBK"/>
                <w:color w:val="auto"/>
                <w:kern w:val="0"/>
                <w:szCs w:val="21"/>
                <w:highlight w:val="none"/>
                <w:lang w:val="en-US" w:eastAsia="zh-CN" w:bidi="ar"/>
              </w:rPr>
              <w:t>0.78</w:t>
            </w:r>
            <w:r>
              <w:rPr>
                <w:rFonts w:hint="eastAsia" w:ascii="方正仿宋_GBK" w:hAnsi="方正仿宋_GBK" w:eastAsia="方正仿宋_GBK" w:cs="方正仿宋_GBK"/>
                <w:color w:val="auto"/>
                <w:kern w:val="0"/>
                <w:szCs w:val="21"/>
                <w:highlight w:val="none"/>
                <w:lang w:bidi="ar"/>
              </w:rPr>
              <w:t>分，扣完为止</w:t>
            </w:r>
            <w:r>
              <w:rPr>
                <w:rFonts w:hint="eastAsia" w:ascii="方正仿宋_GBK" w:hAnsi="方正仿宋_GBK" w:eastAsia="方正仿宋_GBK" w:cs="方正仿宋_GBK"/>
                <w:color w:val="auto"/>
                <w:kern w:val="0"/>
                <w:szCs w:val="21"/>
                <w:highlight w:val="none"/>
                <w:lang w:val="en-US" w:eastAsia="zh-CN" w:bidi="ar"/>
              </w:rPr>
              <w:t>；低温仓</w:t>
            </w:r>
            <w:r>
              <w:rPr>
                <w:rFonts w:hint="eastAsia" w:ascii="方正仿宋_GBK" w:hAnsi="方正仿宋_GBK" w:eastAsia="方正仿宋_GBK" w:cs="方正仿宋_GBK"/>
                <w:color w:val="auto"/>
                <w:kern w:val="0"/>
                <w:szCs w:val="21"/>
                <w:highlight w:val="none"/>
                <w:lang w:bidi="ar"/>
              </w:rPr>
              <w:t>B2C出库操作费报价占</w:t>
            </w:r>
            <w:r>
              <w:rPr>
                <w:rFonts w:hint="eastAsia" w:ascii="方正仿宋_GBK" w:hAnsi="方正仿宋_GBK" w:eastAsia="方正仿宋_GBK" w:cs="方正仿宋_GBK"/>
                <w:color w:val="auto"/>
                <w:kern w:val="0"/>
                <w:szCs w:val="21"/>
                <w:highlight w:val="none"/>
                <w:lang w:val="en-US" w:eastAsia="zh-CN" w:bidi="ar"/>
              </w:rPr>
              <w:t>2.5</w:t>
            </w:r>
            <w:r>
              <w:rPr>
                <w:rFonts w:hint="eastAsia" w:ascii="方正仿宋_GBK" w:hAnsi="方正仿宋_GBK" w:eastAsia="方正仿宋_GBK" w:cs="方正仿宋_GBK"/>
                <w:color w:val="auto"/>
                <w:kern w:val="0"/>
                <w:szCs w:val="21"/>
                <w:highlight w:val="none"/>
                <w:lang w:bidi="ar"/>
              </w:rPr>
              <w:t>分，按照报价最低者得满分，价格由低到高依次扣</w:t>
            </w:r>
            <w:r>
              <w:rPr>
                <w:rFonts w:hint="eastAsia" w:ascii="方正仿宋_GBK" w:hAnsi="方正仿宋_GBK" w:eastAsia="方正仿宋_GBK" w:cs="方正仿宋_GBK"/>
                <w:color w:val="auto"/>
                <w:kern w:val="0"/>
                <w:szCs w:val="21"/>
                <w:highlight w:val="none"/>
                <w:lang w:val="en-US" w:eastAsia="zh-CN" w:bidi="ar"/>
              </w:rPr>
              <w:t>0.5</w:t>
            </w:r>
            <w:r>
              <w:rPr>
                <w:rFonts w:hint="eastAsia" w:ascii="方正仿宋_GBK" w:hAnsi="方正仿宋_GBK" w:eastAsia="方正仿宋_GBK" w:cs="方正仿宋_GBK"/>
                <w:color w:val="auto"/>
                <w:kern w:val="0"/>
                <w:szCs w:val="21"/>
                <w:highlight w:val="none"/>
                <w:lang w:bidi="ar"/>
              </w:rPr>
              <w:t>分，扣完为止。</w:t>
            </w: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highlight w:val="yellow"/>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highlight w:val="yellow"/>
              </w:rPr>
            </w:pPr>
          </w:p>
        </w:tc>
        <w:tc>
          <w:tcPr>
            <w:tcW w:w="419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color w:val="auto"/>
                <w:szCs w:val="21"/>
                <w:highlight w:val="none"/>
                <w:lang w:val="en-US" w:eastAsia="zh-CN"/>
              </w:rPr>
            </w:pPr>
            <w:r>
              <w:rPr>
                <w:rFonts w:hint="eastAsia" w:ascii="方正仿宋_GBK" w:hAnsi="方正仿宋_GBK" w:eastAsia="方正仿宋_GBK" w:cs="方正仿宋_GBK"/>
                <w:color w:val="auto"/>
                <w:kern w:val="0"/>
                <w:szCs w:val="21"/>
                <w:highlight w:val="none"/>
                <w:lang w:bidi="ar"/>
              </w:rPr>
              <w:t>2、</w:t>
            </w:r>
            <w:r>
              <w:rPr>
                <w:rFonts w:hint="eastAsia" w:ascii="方正仿宋_GBK" w:hAnsi="方正仿宋_GBK" w:eastAsia="方正仿宋_GBK" w:cs="方正仿宋_GBK"/>
                <w:color w:val="auto"/>
                <w:kern w:val="0"/>
                <w:szCs w:val="21"/>
                <w:highlight w:val="none"/>
                <w:lang w:val="en-US" w:eastAsia="zh-CN" w:bidi="ar"/>
              </w:rPr>
              <w:t>常温仓与低温仓B2B出库费报价占1分，两项费用加总计算</w:t>
            </w:r>
            <w:r>
              <w:rPr>
                <w:rFonts w:hint="eastAsia" w:ascii="方正仿宋_GBK" w:hAnsi="方正仿宋_GBK" w:eastAsia="方正仿宋_GBK" w:cs="方正仿宋_GBK"/>
                <w:color w:val="auto"/>
                <w:kern w:val="0"/>
                <w:szCs w:val="21"/>
                <w:highlight w:val="none"/>
                <w:lang w:bidi="ar"/>
              </w:rPr>
              <w:t>，按照报价最低者得满分，价格由低到高依次扣0.</w:t>
            </w:r>
            <w:r>
              <w:rPr>
                <w:rFonts w:hint="eastAsia" w:ascii="方正仿宋_GBK" w:hAnsi="方正仿宋_GBK" w:eastAsia="方正仿宋_GBK" w:cs="方正仿宋_GBK"/>
                <w:color w:val="auto"/>
                <w:kern w:val="0"/>
                <w:szCs w:val="21"/>
                <w:highlight w:val="none"/>
                <w:lang w:val="en-US" w:eastAsia="zh-CN" w:bidi="ar"/>
              </w:rPr>
              <w:t>2</w:t>
            </w:r>
            <w:r>
              <w:rPr>
                <w:rFonts w:hint="eastAsia" w:ascii="方正仿宋_GBK" w:hAnsi="方正仿宋_GBK" w:eastAsia="方正仿宋_GBK" w:cs="方正仿宋_GBK"/>
                <w:color w:val="auto"/>
                <w:kern w:val="0"/>
                <w:szCs w:val="21"/>
                <w:highlight w:val="none"/>
                <w:lang w:bidi="ar"/>
              </w:rPr>
              <w:t>分，扣完为止</w:t>
            </w: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耗材价格</w:t>
            </w:r>
          </w:p>
        </w:tc>
        <w:tc>
          <w:tcPr>
            <w:tcW w:w="90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kern w:val="0"/>
                <w:szCs w:val="21"/>
                <w:highlight w:val="none"/>
                <w:lang w:val="en-US" w:eastAsia="zh-CN" w:bidi="ar"/>
              </w:rPr>
              <w:t>17.7</w:t>
            </w:r>
            <w:r>
              <w:rPr>
                <w:rFonts w:hint="eastAsia" w:ascii="方正仿宋_GBK" w:hAnsi="方正仿宋_GBK" w:eastAsia="方正仿宋_GBK" w:cs="方正仿宋_GBK"/>
                <w:kern w:val="0"/>
                <w:szCs w:val="21"/>
                <w:highlight w:val="none"/>
                <w:lang w:bidi="ar"/>
              </w:rPr>
              <w:t>分</w:t>
            </w: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kern w:val="0"/>
                <w:szCs w:val="21"/>
                <w:highlight w:val="none"/>
                <w:lang w:val="en-US" w:eastAsia="zh-CN" w:bidi="ar"/>
              </w:rPr>
              <w:t>根据耗材品类单独打分，单项报价最低者得满分，价格由低到高依次扣3.54分，扣完为止（详情见耗材报价单）</w:t>
            </w:r>
            <w:r>
              <w:rPr>
                <w:rFonts w:hint="eastAsia" w:ascii="方正仿宋_GBK" w:hAnsi="方正仿宋_GBK" w:eastAsia="方正仿宋_GBK" w:cs="方正仿宋_GBK"/>
                <w:kern w:val="0"/>
                <w:szCs w:val="21"/>
                <w:highlight w:val="none"/>
                <w:lang w:bidi="ar"/>
              </w:rPr>
              <w:t>。</w:t>
            </w:r>
          </w:p>
        </w:tc>
      </w:tr>
      <w:tr>
        <w:tblPrEx>
          <w:tblCellMar>
            <w:top w:w="0" w:type="dxa"/>
            <w:left w:w="0" w:type="dxa"/>
            <w:bottom w:w="0" w:type="dxa"/>
            <w:right w:w="0" w:type="dxa"/>
          </w:tblCellMar>
        </w:tblPrEx>
        <w:trPr>
          <w:trHeight w:val="454" w:hRule="atLeast"/>
        </w:trPr>
        <w:tc>
          <w:tcPr>
            <w:tcW w:w="90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9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721"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tLeast"/>
              <w:jc w:val="center"/>
              <w:rPr>
                <w:rFonts w:hint="eastAsia" w:ascii="方正仿宋_GBK" w:hAnsi="方正仿宋_GBK" w:eastAsia="方正仿宋_GBK" w:cs="方正仿宋_GBK"/>
                <w:szCs w:val="21"/>
              </w:rPr>
            </w:pPr>
          </w:p>
        </w:tc>
        <w:tc>
          <w:tcPr>
            <w:tcW w:w="109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其他费用</w:t>
            </w:r>
          </w:p>
        </w:tc>
        <w:tc>
          <w:tcPr>
            <w:tcW w:w="90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bidi="ar"/>
              </w:rPr>
              <w:t>2</w:t>
            </w:r>
            <w:r>
              <w:rPr>
                <w:rFonts w:hint="eastAsia" w:ascii="方正仿宋_GBK" w:hAnsi="方正仿宋_GBK" w:eastAsia="方正仿宋_GBK" w:cs="方正仿宋_GBK"/>
                <w:kern w:val="0"/>
                <w:szCs w:val="21"/>
                <w:lang w:bidi="ar"/>
              </w:rPr>
              <w:t>分</w:t>
            </w:r>
          </w:p>
        </w:tc>
        <w:tc>
          <w:tcPr>
            <w:tcW w:w="419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240" w:lineRule="atLeast"/>
              <w:jc w:val="left"/>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根据报价其他费用合计总金额</w:t>
            </w:r>
            <w:r>
              <w:rPr>
                <w:rStyle w:val="8"/>
                <w:rFonts w:hint="default"/>
                <w:color w:val="auto"/>
                <w:sz w:val="21"/>
                <w:szCs w:val="21"/>
                <w:lang w:bidi="ar"/>
              </w:rPr>
              <w:t>，报价最低者得满分，价格由低到高依次扣</w:t>
            </w:r>
            <w:r>
              <w:rPr>
                <w:rStyle w:val="8"/>
                <w:rFonts w:hint="eastAsia" w:eastAsia="方正仿宋_GBK"/>
                <w:color w:val="auto"/>
                <w:sz w:val="21"/>
                <w:szCs w:val="21"/>
                <w:lang w:val="en-US" w:eastAsia="zh-CN" w:bidi="ar"/>
              </w:rPr>
              <w:t>0.4</w:t>
            </w:r>
            <w:r>
              <w:rPr>
                <w:rStyle w:val="8"/>
                <w:rFonts w:hint="default"/>
                <w:color w:val="auto"/>
                <w:sz w:val="21"/>
                <w:szCs w:val="21"/>
                <w:lang w:bidi="ar"/>
              </w:rPr>
              <w:t>分，扣完为止。</w:t>
            </w:r>
          </w:p>
        </w:tc>
      </w:tr>
    </w:tbl>
    <w:p>
      <w:pPr>
        <w:adjustRightInd w:val="0"/>
        <w:snapToGrid w:val="0"/>
        <w:spacing w:line="240" w:lineRule="atLeast"/>
        <w:rPr>
          <w:rFonts w:hint="eastAsia" w:ascii="方正仿宋_GBK" w:hAnsi="方正仿宋_GBK" w:eastAsia="方正仿宋_GBK" w:cs="方正仿宋_GBK"/>
          <w:b/>
          <w:bCs/>
          <w:szCs w:val="21"/>
        </w:rPr>
      </w:pPr>
    </w:p>
    <w:p>
      <w:pPr>
        <w:adjustRightInd w:val="0"/>
        <w:snapToGrid w:val="0"/>
        <w:spacing w:line="560" w:lineRule="exact"/>
        <w:rPr>
          <w:rFonts w:hint="default" w:ascii="方正仿宋_GBK" w:hAnsi="方正仿宋_GBK" w:eastAsia="方正黑体_GBK" w:cs="方正仿宋_GBK"/>
          <w:b/>
          <w:bCs/>
          <w:sz w:val="28"/>
          <w:szCs w:val="28"/>
          <w:lang w:val="en-US" w:eastAsia="zh-CN"/>
        </w:rPr>
      </w:pPr>
      <w:r>
        <w:rPr>
          <w:rFonts w:hint="eastAsia" w:ascii="方正仿宋_GBK" w:hAnsi="方正仿宋_GBK" w:eastAsia="方正仿宋_GBK" w:cs="方正仿宋_GBK"/>
          <w:b/>
          <w:bCs/>
          <w:sz w:val="28"/>
          <w:szCs w:val="28"/>
        </w:rPr>
        <w:t xml:space="preserve">                      </w:t>
      </w:r>
      <w:r>
        <w:rPr>
          <w:rFonts w:hint="eastAsia" w:ascii="方正黑体_GBK" w:hAnsi="方正黑体_GBK" w:eastAsia="方正黑体_GBK" w:cs="方正黑体_GBK"/>
          <w:sz w:val="28"/>
          <w:szCs w:val="28"/>
        </w:rPr>
        <w:t>第四章：</w:t>
      </w:r>
      <w:r>
        <w:rPr>
          <w:rFonts w:hint="eastAsia" w:ascii="方正黑体_GBK" w:hAnsi="方正黑体_GBK" w:eastAsia="方正黑体_GBK" w:cs="方正黑体_GBK"/>
          <w:sz w:val="28"/>
          <w:szCs w:val="28"/>
          <w:lang w:val="en-US" w:eastAsia="zh-CN"/>
        </w:rPr>
        <w:t>投标文件内容</w:t>
      </w:r>
    </w:p>
    <w:p>
      <w:pPr>
        <w:adjustRightInd w:val="0"/>
        <w:snapToGrid w:val="0"/>
        <w:spacing w:line="56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项目：</w:t>
      </w:r>
      <w:r>
        <w:rPr>
          <w:rFonts w:hint="eastAsia" w:ascii="方正仿宋_GBK" w:hAnsi="方正仿宋_GBK" w:eastAsia="方正仿宋_GBK" w:cs="方正仿宋_GBK"/>
          <w:kern w:val="0"/>
          <w:sz w:val="28"/>
          <w:szCs w:val="28"/>
          <w:lang w:val="en-US" w:eastAsia="zh-CN"/>
        </w:rPr>
        <w:t>陕西</w:t>
      </w:r>
      <w:r>
        <w:rPr>
          <w:rFonts w:hint="eastAsia" w:ascii="方正仿宋_GBK" w:hAnsi="方正仿宋_GBK" w:eastAsia="方正仿宋_GBK" w:cs="方正仿宋_GBK"/>
          <w:kern w:val="0"/>
          <w:sz w:val="28"/>
          <w:szCs w:val="28"/>
          <w:lang w:eastAsia="zh-CN"/>
        </w:rPr>
        <w:t>常低温一体电商标准仓</w:t>
      </w:r>
      <w:r>
        <w:rPr>
          <w:rFonts w:hint="eastAsia" w:ascii="方正仿宋_GBK" w:hAnsi="方正仿宋_GBK" w:eastAsia="方正仿宋_GBK" w:cs="方正仿宋_GBK"/>
          <w:kern w:val="0"/>
          <w:sz w:val="28"/>
          <w:szCs w:val="28"/>
        </w:rPr>
        <w:t>服务比选</w:t>
      </w:r>
    </w:p>
    <w:p>
      <w:pPr>
        <w:numPr>
          <w:ilvl w:val="0"/>
          <w:numId w:val="1"/>
        </w:numPr>
        <w:adjustRightInd w:val="0"/>
        <w:snapToGrid w:val="0"/>
        <w:spacing w:line="56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响应文件内容及</w:t>
      </w:r>
      <w:r>
        <w:rPr>
          <w:rFonts w:hint="eastAsia" w:ascii="方正仿宋_GBK" w:hAnsi="方正仿宋_GBK" w:eastAsia="方正仿宋_GBK" w:cs="方正仿宋_GBK"/>
          <w:kern w:val="0"/>
          <w:sz w:val="28"/>
          <w:szCs w:val="28"/>
        </w:rPr>
        <w:t>格式如下：</w:t>
      </w:r>
    </w:p>
    <w:p>
      <w:pPr>
        <w:pStyle w:val="11"/>
        <w:numPr>
          <w:ilvl w:val="0"/>
          <w:numId w:val="2"/>
        </w:numPr>
        <w:adjustRightInd w:val="0"/>
        <w:snapToGrid w:val="0"/>
        <w:spacing w:line="560" w:lineRule="exact"/>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商务文件，包含营业执照（副本）、仓库可使用面积保证书、仓库6S管理标准、商业保险保单</w:t>
      </w:r>
      <w:r>
        <w:rPr>
          <w:rFonts w:hint="eastAsia" w:ascii="方正仿宋_GBK" w:hAnsi="方正仿宋_GBK" w:eastAsia="方正仿宋_GBK" w:cs="方正仿宋_GBK"/>
          <w:bCs/>
          <w:sz w:val="28"/>
          <w:szCs w:val="28"/>
          <w:lang w:val="en-US" w:eastAsia="zh-CN"/>
        </w:rPr>
        <w:t>或承诺购买保险函</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lang w:val="en-US" w:eastAsia="zh-CN"/>
        </w:rPr>
        <w:t>征信报告、安全承诺函、承诺增项函（如己具备开具13%税率耗材发票资质无需提供承诺增项函）</w:t>
      </w:r>
      <w:r>
        <w:rPr>
          <w:rFonts w:hint="eastAsia" w:ascii="方正仿宋_GBK" w:hAnsi="方正仿宋_GBK" w:eastAsia="方正仿宋_GBK" w:cs="方正仿宋_GBK"/>
          <w:bCs/>
          <w:sz w:val="28"/>
          <w:szCs w:val="28"/>
        </w:rPr>
        <w:t>；</w:t>
      </w:r>
    </w:p>
    <w:p>
      <w:pPr>
        <w:pStyle w:val="11"/>
        <w:numPr>
          <w:ilvl w:val="0"/>
          <w:numId w:val="2"/>
        </w:numPr>
        <w:adjustRightInd w:val="0"/>
        <w:snapToGrid w:val="0"/>
        <w:spacing w:line="560" w:lineRule="exact"/>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技术文件，包含入库时间、发货揽收时长、售后响应时长、库存差异率、发货错误率、货品破损率</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lang w:val="en-US" w:eastAsia="zh-CN"/>
        </w:rPr>
        <w:t>详见附件3表格）</w:t>
      </w:r>
      <w:r>
        <w:rPr>
          <w:rFonts w:hint="eastAsia" w:ascii="方正仿宋_GBK" w:hAnsi="方正仿宋_GBK" w:eastAsia="方正仿宋_GBK" w:cs="方正仿宋_GBK"/>
          <w:bCs/>
          <w:sz w:val="28"/>
          <w:szCs w:val="28"/>
        </w:rPr>
        <w:t>；</w:t>
      </w:r>
    </w:p>
    <w:p>
      <w:pPr>
        <w:pStyle w:val="11"/>
        <w:numPr>
          <w:ilvl w:val="0"/>
          <w:numId w:val="2"/>
        </w:numPr>
        <w:adjustRightInd w:val="0"/>
        <w:snapToGrid w:val="0"/>
        <w:spacing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报价单：报价单应为表格形式，价格为含税单价，报价单应包括仓储服务价格、快递配送价格及耗材价格，详细列明每个项目的内容、收费标准及税率，以下为</w:t>
      </w:r>
      <w:r>
        <w:rPr>
          <w:rFonts w:hint="eastAsia" w:ascii="方正仿宋_GBK" w:hAnsi="方正仿宋_GBK" w:eastAsia="方正仿宋_GBK" w:cs="方正仿宋_GBK"/>
          <w:bCs/>
          <w:sz w:val="28"/>
          <w:szCs w:val="28"/>
          <w:lang w:val="en-US" w:eastAsia="zh-CN"/>
        </w:rPr>
        <w:t>报价单</w:t>
      </w:r>
      <w:r>
        <w:rPr>
          <w:rFonts w:hint="eastAsia" w:ascii="方正仿宋_GBK" w:hAnsi="方正仿宋_GBK" w:eastAsia="方正仿宋_GBK" w:cs="方正仿宋_GBK"/>
          <w:bCs/>
          <w:sz w:val="28"/>
          <w:szCs w:val="28"/>
        </w:rPr>
        <w:t>详细列表：</w:t>
      </w:r>
    </w:p>
    <w:tbl>
      <w:tblPr>
        <w:tblStyle w:val="5"/>
        <w:tblW w:w="8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8"/>
        <w:gridCol w:w="399"/>
        <w:gridCol w:w="359"/>
        <w:gridCol w:w="836"/>
        <w:gridCol w:w="290"/>
        <w:gridCol w:w="1126"/>
        <w:gridCol w:w="82"/>
        <w:gridCol w:w="1118"/>
        <w:gridCol w:w="677"/>
        <w:gridCol w:w="460"/>
        <w:gridCol w:w="266"/>
        <w:gridCol w:w="1368"/>
        <w:gridCol w:w="821"/>
        <w:gridCol w:w="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740" w:type="dxa"/>
            <w:gridSpan w:val="14"/>
            <w:tcBorders>
              <w:top w:val="nil"/>
              <w:left w:val="nil"/>
              <w:bottom w:val="nil"/>
              <w:right w:val="nil"/>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仓储报价单（税率6%）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235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公司</w:t>
            </w:r>
          </w:p>
        </w:tc>
        <w:tc>
          <w:tcPr>
            <w:tcW w:w="3293"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209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价格（含税）</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含税6%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2352"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服务项目</w:t>
            </w:r>
          </w:p>
        </w:tc>
        <w:tc>
          <w:tcPr>
            <w:tcW w:w="1498"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服务内容</w:t>
            </w:r>
          </w:p>
        </w:tc>
        <w:tc>
          <w:tcPr>
            <w:tcW w:w="179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计价依据</w:t>
            </w:r>
          </w:p>
        </w:tc>
        <w:tc>
          <w:tcPr>
            <w:tcW w:w="72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实际报价</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报价</w:t>
            </w:r>
          </w:p>
        </w:tc>
        <w:tc>
          <w:tcPr>
            <w:tcW w:w="100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2352"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1498"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179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单位</w:t>
            </w:r>
          </w:p>
        </w:tc>
        <w:tc>
          <w:tcPr>
            <w:tcW w:w="100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2352"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1.仓储租金</w:t>
            </w:r>
          </w:p>
        </w:tc>
        <w:tc>
          <w:tcPr>
            <w:tcW w:w="149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常温库</w:t>
            </w:r>
          </w:p>
        </w:tc>
        <w:tc>
          <w:tcPr>
            <w:tcW w:w="17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按合同面积计算</w:t>
            </w: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元/平/月</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2352"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149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低温库</w:t>
            </w:r>
          </w:p>
        </w:tc>
        <w:tc>
          <w:tcPr>
            <w:tcW w:w="17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按合同面积计算</w:t>
            </w: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sz w:val="18"/>
                <w:szCs w:val="18"/>
                <w:u w:val="none"/>
                <w:lang w:val="en-US" w:eastAsia="zh-CN"/>
              </w:rPr>
              <w:t>元/平/月</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2352"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2.出库操作费</w:t>
            </w:r>
          </w:p>
        </w:tc>
        <w:tc>
          <w:tcPr>
            <w:tcW w:w="149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2c出库：根据订单指令，进行订单的打印、分拣、复核、包装、称重以及出库交接</w:t>
            </w:r>
          </w:p>
        </w:tc>
        <w:tc>
          <w:tcPr>
            <w:tcW w:w="17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常温仓B2C出库</w:t>
            </w: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元/2件</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2352"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c>
          <w:tcPr>
            <w:tcW w:w="14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c>
          <w:tcPr>
            <w:tcW w:w="179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低温仓B2C出库</w:t>
            </w: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3个SKU内总计18件产品内出库费</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trPr>
        <w:tc>
          <w:tcPr>
            <w:tcW w:w="2352"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c>
          <w:tcPr>
            <w:tcW w:w="14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c>
          <w:tcPr>
            <w:tcW w:w="179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每超过一个SKU或1件产品加收</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trPr>
        <w:tc>
          <w:tcPr>
            <w:tcW w:w="2352"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8"/>
                <w:szCs w:val="18"/>
                <w:u w:val="none"/>
              </w:rPr>
            </w:pPr>
          </w:p>
        </w:tc>
        <w:tc>
          <w:tcPr>
            <w:tcW w:w="1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2b出库：根据订单指令，进行批量出库</w:t>
            </w:r>
          </w:p>
        </w:tc>
        <w:tc>
          <w:tcPr>
            <w:tcW w:w="1795"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元/方</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4" w:hRule="atLeast"/>
        </w:trPr>
        <w:tc>
          <w:tcPr>
            <w:tcW w:w="115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3.其他费用</w:t>
            </w:r>
          </w:p>
        </w:tc>
        <w:tc>
          <w:tcPr>
            <w:tcW w:w="11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①货物装卸</w:t>
            </w:r>
          </w:p>
        </w:tc>
        <w:tc>
          <w:tcPr>
            <w:tcW w:w="1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从送货车辆上把货物搬到托盘上码放好，或从待发区把商品搬到送货车辆上</w:t>
            </w:r>
          </w:p>
        </w:tc>
        <w:tc>
          <w:tcPr>
            <w:tcW w:w="17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操作吨数</w:t>
            </w: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元/吨</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7" w:hRule="atLeast"/>
        </w:trPr>
        <w:tc>
          <w:tcPr>
            <w:tcW w:w="115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11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②订单拦截</w:t>
            </w:r>
          </w:p>
        </w:tc>
        <w:tc>
          <w:tcPr>
            <w:tcW w:w="1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针对B2C订单，根据甲方指令，对已打印且未完成发运的订单成功拦截</w:t>
            </w:r>
          </w:p>
        </w:tc>
        <w:tc>
          <w:tcPr>
            <w:tcW w:w="17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订单数量</w:t>
            </w: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元/单</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15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11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③粘贴标签</w:t>
            </w:r>
          </w:p>
        </w:tc>
        <w:tc>
          <w:tcPr>
            <w:tcW w:w="1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为商品粘贴标签</w:t>
            </w:r>
          </w:p>
        </w:tc>
        <w:tc>
          <w:tcPr>
            <w:tcW w:w="17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实际粘贴数量</w:t>
            </w: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元/件</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15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11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④更换包装</w:t>
            </w:r>
          </w:p>
        </w:tc>
        <w:tc>
          <w:tcPr>
            <w:tcW w:w="1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外包装需要更换</w:t>
            </w:r>
          </w:p>
        </w:tc>
        <w:tc>
          <w:tcPr>
            <w:tcW w:w="17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更换件数</w:t>
            </w: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元/件</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15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11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⑤组合包装</w:t>
            </w:r>
          </w:p>
        </w:tc>
        <w:tc>
          <w:tcPr>
            <w:tcW w:w="1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按照需求把多件组合成一个包装</w:t>
            </w:r>
          </w:p>
        </w:tc>
        <w:tc>
          <w:tcPr>
            <w:tcW w:w="17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以实际组合件数</w:t>
            </w: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元/件</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15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11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⑥退货入库</w:t>
            </w:r>
          </w:p>
        </w:tc>
        <w:tc>
          <w:tcPr>
            <w:tcW w:w="1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针对单件售后退货入库/批量退货入库</w:t>
            </w:r>
          </w:p>
        </w:tc>
        <w:tc>
          <w:tcPr>
            <w:tcW w:w="179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i w:val="0"/>
                <w:iCs w:val="0"/>
                <w:color w:val="000000"/>
                <w:sz w:val="18"/>
                <w:szCs w:val="18"/>
                <w:u w:val="none"/>
              </w:rPr>
            </w:pP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元/件</w:t>
            </w: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15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18"/>
                <w:szCs w:val="18"/>
                <w:u w:val="none"/>
              </w:rPr>
            </w:pPr>
          </w:p>
        </w:tc>
        <w:tc>
          <w:tcPr>
            <w:tcW w:w="11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⑦其他增值服务</w:t>
            </w:r>
          </w:p>
        </w:tc>
        <w:tc>
          <w:tcPr>
            <w:tcW w:w="1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其他未尽项目</w:t>
            </w:r>
          </w:p>
        </w:tc>
        <w:tc>
          <w:tcPr>
            <w:tcW w:w="179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i w:val="0"/>
                <w:iCs w:val="0"/>
                <w:color w:val="000000"/>
                <w:sz w:val="18"/>
                <w:szCs w:val="18"/>
                <w:u w:val="none"/>
              </w:rPr>
            </w:pP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001"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6" w:hRule="atLeast"/>
        </w:trPr>
        <w:tc>
          <w:tcPr>
            <w:tcW w:w="235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4、仓库代采耗材是否占用面积</w:t>
            </w:r>
          </w:p>
        </w:tc>
        <w:tc>
          <w:tcPr>
            <w:tcW w:w="1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仓库代采耗材并开具13%增值税专用发票后，耗材是否占用仓储面积并收取仓储费用</w:t>
            </w:r>
          </w:p>
        </w:tc>
        <w:tc>
          <w:tcPr>
            <w:tcW w:w="17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是/否</w:t>
            </w:r>
          </w:p>
        </w:tc>
        <w:tc>
          <w:tcPr>
            <w:tcW w:w="72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是/否</w:t>
            </w:r>
          </w:p>
        </w:tc>
        <w:tc>
          <w:tcPr>
            <w:tcW w:w="100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752" w:hRule="atLeast"/>
        </w:trPr>
        <w:tc>
          <w:tcPr>
            <w:tcW w:w="8560" w:type="dxa"/>
            <w:gridSpan w:val="1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8"/>
                <w:szCs w:val="28"/>
                <w:u w:val="none"/>
                <w:lang w:val="en-US" w:eastAsia="zh-CN" w:bidi="ar"/>
              </w:rPr>
            </w:pPr>
          </w:p>
          <w:p>
            <w:pPr>
              <w:keepNext w:val="0"/>
              <w:keepLines w:val="0"/>
              <w:widowControl/>
              <w:suppressLineNumbers w:val="0"/>
              <w:jc w:val="center"/>
              <w:textAlignment w:val="center"/>
              <w:rPr>
                <w:rFonts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常温仓快递报价单（税率6%）合计13.6分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763" w:hRule="atLeast"/>
        </w:trPr>
        <w:tc>
          <w:tcPr>
            <w:tcW w:w="7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始发地</w:t>
            </w:r>
          </w:p>
        </w:tc>
        <w:tc>
          <w:tcPr>
            <w:tcW w:w="7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目的地</w:t>
            </w:r>
          </w:p>
        </w:tc>
        <w:tc>
          <w:tcPr>
            <w:tcW w:w="11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1-3Kg（含）</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 3KG（不含）-5Kg（含）</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5（不含）-10Kg（含）</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10kg（不含）以上</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安徽</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0.44</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北京</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0.27</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福建</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0.72</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甘肃</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 xml:space="preserve">0.02 </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876"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广东</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 xml:space="preserve">3.02 </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广西</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 xml:space="preserve">0.96 </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贵州</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0.24</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河北</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 xml:space="preserve">0.25 </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河南</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0.47</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黑龙江</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0.14</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湖北</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0.53</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湖南</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0.64</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吉林</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0.06</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江苏</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0.9</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江西</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0.42</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辽宁</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0.14</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山东</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 xml:space="preserve">0.54 </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山西</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0.18</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0.41</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上海</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0.11</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四川</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0.78</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天津</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0.16</w:t>
            </w:r>
            <w:r>
              <w:rPr>
                <w:rFonts w:hint="eastAsia" w:ascii="方正仿宋_GBK" w:hAnsi="方正仿宋_GBK" w:eastAsia="方正仿宋_GBK" w:cs="方正仿宋_GBK"/>
                <w:i w:val="0"/>
                <w:color w:val="000000"/>
                <w:kern w:val="0"/>
                <w:sz w:val="18"/>
                <w:szCs w:val="18"/>
                <w:u w:val="none"/>
                <w:lang w:val="en-US" w:eastAsia="zh-CN" w:bidi="ar"/>
              </w:rPr>
              <w:t xml:space="preserve">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云南</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0.28</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浙江</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1.28</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31"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0.62</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1142" w:hRule="atLeast"/>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陕西</w:t>
            </w:r>
          </w:p>
        </w:tc>
        <w:tc>
          <w:tcPr>
            <w:tcW w:w="7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宁夏</w:t>
            </w:r>
          </w:p>
        </w:tc>
        <w:tc>
          <w:tcPr>
            <w:tcW w:w="1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11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首重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元/3KG，续重</w:t>
            </w:r>
            <w:r>
              <w:rPr>
                <w:rFonts w:hint="eastAsia" w:ascii="方正仿宋_GBK" w:hAnsi="方正仿宋_GBK" w:eastAsia="方正仿宋_GBK" w:cs="方正仿宋_GBK"/>
                <w:i w:val="0"/>
                <w:color w:val="000000"/>
                <w:kern w:val="0"/>
                <w:sz w:val="18"/>
                <w:szCs w:val="18"/>
                <w:u w:val="singl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元/1kg</w:t>
            </w:r>
          </w:p>
        </w:tc>
        <w:tc>
          <w:tcPr>
            <w:tcW w:w="24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 xml:space="preserve">按报价加总计算，最低价格得 </w:t>
            </w:r>
            <w:r>
              <w:rPr>
                <w:rFonts w:hint="eastAsia" w:ascii="方正仿宋_GBK" w:hAnsi="方正仿宋_GBK" w:eastAsia="方正仿宋_GBK" w:cs="方正仿宋_GBK"/>
                <w:i w:val="0"/>
                <w:color w:val="000000"/>
                <w:kern w:val="0"/>
                <w:sz w:val="18"/>
                <w:szCs w:val="18"/>
                <w:u w:val="single"/>
                <w:lang w:val="en-US" w:eastAsia="zh-CN" w:bidi="ar"/>
              </w:rPr>
              <w:t>0.02</w:t>
            </w:r>
            <w:r>
              <w:rPr>
                <w:rFonts w:hint="eastAsia" w:ascii="方正仿宋_GBK" w:hAnsi="方正仿宋_GBK" w:eastAsia="方正仿宋_GBK" w:cs="方正仿宋_GBK"/>
                <w:i w:val="0"/>
                <w:color w:val="000000"/>
                <w:kern w:val="0"/>
                <w:sz w:val="18"/>
                <w:szCs w:val="18"/>
                <w:u w:val="none"/>
                <w:lang w:val="en-US" w:eastAsia="zh-CN" w:bidi="ar"/>
              </w:rPr>
              <w:t>分，以最低价得分为基准，价格由低到高依次扣该项20%得分，扣完为止</w:t>
            </w:r>
          </w:p>
        </w:tc>
      </w:tr>
    </w:tbl>
    <w:p>
      <w:pPr>
        <w:pStyle w:val="11"/>
        <w:numPr>
          <w:ilvl w:val="0"/>
          <w:numId w:val="0"/>
        </w:numPr>
        <w:adjustRightInd w:val="0"/>
        <w:snapToGrid w:val="0"/>
        <w:spacing w:line="560" w:lineRule="exact"/>
        <w:ind w:left="241" w:leftChars="0"/>
        <w:rPr>
          <w:rFonts w:hint="eastAsia" w:ascii="方正仿宋_GBK" w:hAnsi="方正仿宋_GBK" w:eastAsia="方正仿宋_GBK" w:cs="方正仿宋_GBK"/>
          <w:sz w:val="28"/>
          <w:szCs w:val="28"/>
        </w:rPr>
      </w:pPr>
    </w:p>
    <w:tbl>
      <w:tblPr>
        <w:tblStyle w:val="5"/>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2"/>
        <w:gridCol w:w="724"/>
        <w:gridCol w:w="648"/>
        <w:gridCol w:w="1289"/>
        <w:gridCol w:w="1289"/>
        <w:gridCol w:w="1530"/>
        <w:gridCol w:w="1457"/>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8980"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低温仓快递报价单（税率6%）合计17.2分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trPr>
        <w:tc>
          <w:tcPr>
            <w:tcW w:w="898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按报价加总计算，加总公式为：A档总额*50%-B档总额*30%+C档总额*20%，以最低加总价得分为基准，价格由低到高依次扣该项20%得分，扣完为止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6" w:hRule="atLeast"/>
        </w:trPr>
        <w:tc>
          <w:tcPr>
            <w:tcW w:w="6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始发地</w:t>
            </w:r>
          </w:p>
        </w:tc>
        <w:tc>
          <w:tcPr>
            <w:tcW w:w="7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目的地</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分值</w:t>
            </w:r>
          </w:p>
        </w:tc>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A</w:t>
            </w:r>
            <w:r>
              <w:rPr>
                <w:rFonts w:hint="eastAsia" w:ascii="方正仿宋_GBK" w:hAnsi="方正仿宋_GBK" w:eastAsia="方正仿宋_GBK" w:cs="方正仿宋_GBK"/>
                <w:i w:val="0"/>
                <w:color w:val="000000"/>
                <w:kern w:val="0"/>
                <w:sz w:val="20"/>
                <w:szCs w:val="20"/>
                <w:u w:val="none"/>
                <w:lang w:val="en-US" w:eastAsia="zh-CN" w:bidi="ar"/>
              </w:rPr>
              <w:t>:月单量达4000单（包含）-8000单（包含）</w:t>
            </w:r>
          </w:p>
        </w:tc>
        <w:tc>
          <w:tcPr>
            <w:tcW w:w="16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B</w:t>
            </w:r>
            <w:r>
              <w:rPr>
                <w:rFonts w:hint="eastAsia" w:ascii="方正仿宋_GBK" w:hAnsi="方正仿宋_GBK" w:eastAsia="方正仿宋_GBK" w:cs="方正仿宋_GBK"/>
                <w:i w:val="0"/>
                <w:color w:val="000000"/>
                <w:kern w:val="0"/>
                <w:sz w:val="20"/>
                <w:szCs w:val="20"/>
                <w:u w:val="none"/>
                <w:lang w:val="en-US" w:eastAsia="zh-CN" w:bidi="ar"/>
              </w:rPr>
              <w:t>:月单量高于8000单（不含）</w:t>
            </w:r>
          </w:p>
        </w:tc>
        <w:tc>
          <w:tcPr>
            <w:tcW w:w="13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C</w:t>
            </w:r>
            <w:r>
              <w:rPr>
                <w:rFonts w:hint="eastAsia" w:ascii="方正仿宋_GBK" w:hAnsi="方正仿宋_GBK" w:eastAsia="方正仿宋_GBK" w:cs="方正仿宋_GBK"/>
                <w:i w:val="0"/>
                <w:color w:val="000000"/>
                <w:kern w:val="0"/>
                <w:sz w:val="20"/>
                <w:szCs w:val="20"/>
                <w:u w:val="none"/>
                <w:lang w:val="en-US" w:eastAsia="zh-CN" w:bidi="ar"/>
              </w:rPr>
              <w:t>:月单量4000单（不含）以下）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2" w:hRule="atLeast"/>
        </w:trPr>
        <w:tc>
          <w:tcPr>
            <w:tcW w:w="6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1-3Kg（含）</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3KG（不含）-5Kg（含）</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5（不含）-10Kg（含）</w:t>
            </w:r>
          </w:p>
        </w:tc>
        <w:tc>
          <w:tcPr>
            <w:tcW w:w="16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b/>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0.65</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北京</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2.19</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0.6</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1.36</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0.21</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0.09</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0.79</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0.82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0.33</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0.74</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0.4</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0.26</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1.52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0.27</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0.69</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0.23</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1.27</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0.32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0.6</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0.57</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0.57</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天津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0.46</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1.63</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重庆</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0.08</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0.05</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宁夏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0.05</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青海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0.01</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陕西</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新疆</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0.04</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首重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元/1KG，续重</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元/1kg</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在A档基本上，每单减</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在A档基础上每单加收</w:t>
            </w:r>
            <w:r>
              <w:rPr>
                <w:rFonts w:hint="eastAsia" w:ascii="方正仿宋_GBK" w:hAnsi="方正仿宋_GBK" w:eastAsia="方正仿宋_GBK" w:cs="方正仿宋_GBK"/>
                <w:i w:val="0"/>
                <w:color w:val="000000"/>
                <w:kern w:val="0"/>
                <w:sz w:val="20"/>
                <w:szCs w:val="20"/>
                <w:u w:val="singl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元/单</w:t>
            </w:r>
          </w:p>
        </w:tc>
      </w:tr>
    </w:tbl>
    <w:p>
      <w:pPr>
        <w:pStyle w:val="11"/>
        <w:adjustRightInd w:val="0"/>
        <w:snapToGrid w:val="0"/>
        <w:spacing w:line="560" w:lineRule="exact"/>
        <w:rPr>
          <w:rFonts w:hint="eastAsia" w:ascii="方正仿宋_GBK" w:hAnsi="方正仿宋_GBK" w:eastAsia="方正仿宋_GBK" w:cs="方正仿宋_GBK"/>
          <w:sz w:val="28"/>
          <w:szCs w:val="28"/>
        </w:rPr>
      </w:pPr>
    </w:p>
    <w:p>
      <w:pPr>
        <w:pStyle w:val="2"/>
        <w:ind w:firstLine="2400" w:firstLineChars="1000"/>
        <w:jc w:val="both"/>
        <w:rPr>
          <w:rFonts w:hint="eastAsia" w:ascii="方正仿宋_GBK" w:hAnsi="方正仿宋_GBK" w:eastAsia="方正仿宋_GBK" w:cs="方正仿宋_GBK"/>
          <w:sz w:val="24"/>
          <w:lang w:val="en-US" w:eastAsia="zh-CN"/>
        </w:rPr>
      </w:pPr>
    </w:p>
    <w:p>
      <w:pPr>
        <w:pStyle w:val="2"/>
        <w:ind w:firstLine="2400" w:firstLineChars="1000"/>
        <w:jc w:val="both"/>
        <w:rPr>
          <w:rFonts w:hint="eastAsia" w:ascii="方正仿宋_GBK" w:hAnsi="方正仿宋_GBK" w:eastAsia="方正仿宋_GBK" w:cs="方正仿宋_GBK"/>
          <w:sz w:val="24"/>
          <w:lang w:val="en-US" w:eastAsia="zh-CN"/>
        </w:rPr>
      </w:pPr>
    </w:p>
    <w:p>
      <w:pPr>
        <w:spacing w:line="560" w:lineRule="atLeast"/>
        <w:jc w:val="center"/>
        <w:rPr>
          <w:rFonts w:hint="eastAsia" w:ascii="方正仿宋_GBK" w:hAnsi="方正仿宋_GBK" w:eastAsia="方正仿宋_GBK" w:cs="方正仿宋_GBK"/>
          <w:sz w:val="28"/>
          <w:szCs w:val="28"/>
        </w:rPr>
      </w:pPr>
    </w:p>
    <w:tbl>
      <w:tblPr>
        <w:tblStyle w:val="5"/>
        <w:tblW w:w="8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6"/>
        <w:gridCol w:w="458"/>
        <w:gridCol w:w="847"/>
        <w:gridCol w:w="2206"/>
        <w:gridCol w:w="1043"/>
        <w:gridCol w:w="1042"/>
        <w:gridCol w:w="2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8740" w:type="dxa"/>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b/>
                <w:bCs/>
                <w:i w:val="0"/>
                <w:color w:val="000000"/>
                <w:kern w:val="0"/>
                <w:sz w:val="24"/>
                <w:szCs w:val="24"/>
                <w:u w:val="none"/>
                <w:lang w:val="en-US" w:eastAsia="zh-CN" w:bidi="ar"/>
              </w:rPr>
              <w:t>耗材报价单（税率13%）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品名</w:t>
            </w:r>
          </w:p>
        </w:tc>
        <w:tc>
          <w:tcPr>
            <w:tcW w:w="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单位</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含税单价（元）</w:t>
            </w:r>
          </w:p>
        </w:tc>
        <w:tc>
          <w:tcPr>
            <w:tcW w:w="2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备注</w:t>
            </w:r>
          </w:p>
        </w:tc>
        <w:tc>
          <w:tcPr>
            <w:tcW w:w="10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材质要求</w:t>
            </w:r>
          </w:p>
        </w:tc>
        <w:tc>
          <w:tcPr>
            <w:tcW w:w="10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配纸</w:t>
            </w:r>
          </w:p>
        </w:tc>
        <w:tc>
          <w:tcPr>
            <w:tcW w:w="24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7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2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10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10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24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7" w:hRule="atLeast"/>
        </w:trPr>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保温袋</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个</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23cm*32cm*30cm</w:t>
            </w:r>
          </w:p>
        </w:tc>
        <w:tc>
          <w:tcPr>
            <w:tcW w:w="10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000000"/>
                <w:sz w:val="18"/>
                <w:szCs w:val="18"/>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最低报价得 1.9分，以最低价得分为基准，价格由低到高依次扣该项20%得分，扣完为止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7" w:hRule="atLeast"/>
        </w:trPr>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冰袋</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个</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250g/个</w:t>
            </w:r>
          </w:p>
        </w:tc>
        <w:tc>
          <w:tcPr>
            <w:tcW w:w="10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最低报价得 2 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7" w:hRule="atLeast"/>
        </w:trPr>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泡沫箱</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个</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内径：32cm*22cm*16cm</w:t>
            </w:r>
            <w:r>
              <w:rPr>
                <w:rFonts w:ascii="Arial" w:hAnsi="Arial" w:eastAsia="方正仿宋_GBK" w:cs="Arial"/>
                <w:i w:val="0"/>
                <w:color w:val="FF0000"/>
                <w:kern w:val="0"/>
                <w:sz w:val="18"/>
                <w:szCs w:val="18"/>
                <w:u w:val="none"/>
                <w:lang w:val="en-US" w:eastAsia="zh-CN" w:bidi="ar"/>
              </w:rPr>
              <w:t xml:space="preserve"> </w:t>
            </w:r>
            <w:r>
              <w:rPr>
                <w:rFonts w:hint="eastAsia" w:ascii="方正仿宋_GBK" w:hAnsi="方正仿宋_GBK" w:eastAsia="方正仿宋_GBK" w:cs="方正仿宋_GBK"/>
                <w:i w:val="0"/>
                <w:color w:val="000000"/>
                <w:kern w:val="0"/>
                <w:sz w:val="18"/>
                <w:szCs w:val="18"/>
                <w:u w:val="none"/>
                <w:lang w:val="en-US" w:eastAsia="zh-CN" w:bidi="ar"/>
              </w:rPr>
              <w:t>36cm*26cm*20cm</w:t>
            </w:r>
          </w:p>
        </w:tc>
        <w:tc>
          <w:tcPr>
            <w:tcW w:w="10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最低报价得5.5分，以最低价得分为基准，价格由低到高依次扣该项20%得分，扣完为止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7" w:hRule="atLeast"/>
        </w:trPr>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纸箱</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个</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方正仿宋_GBK" w:hAnsi="方正仿宋_GBK" w:eastAsia="方正仿宋_GBK" w:cs="方正仿宋_GBK"/>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内径：28.3cm*22.4cm*16.1cm</w:t>
            </w:r>
          </w:p>
        </w:tc>
        <w:tc>
          <w:tcPr>
            <w:tcW w:w="10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140/120/120</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B楞（3层）</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最低报价得5.7分，以最低价得分为基准，价格由低到高依次扣该项20%得分，扣完为止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气柱袋</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方正仿宋_GBK" w:hAnsi="方正仿宋_GBK" w:eastAsia="方正仿宋_GBK" w:cs="方正仿宋_GBK"/>
                <w:i w:val="0"/>
                <w:color w:val="000000"/>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方正仿宋_GBK" w:hAnsi="方正仿宋_GBK" w:eastAsia="方正仿宋_GBK" w:cs="方正仿宋_GBK"/>
                <w:i w:val="0"/>
                <w:color w:val="000000"/>
                <w:sz w:val="18"/>
                <w:szCs w:val="18"/>
                <w:highlight w:val="none"/>
                <w:u w:val="none"/>
                <w:lang w:val="en-US" w:eastAsia="zh-CN"/>
              </w:rPr>
            </w:pPr>
            <w:r>
              <w:rPr>
                <w:rFonts w:hint="eastAsia" w:ascii="方正仿宋_GBK" w:hAnsi="方正仿宋_GBK" w:eastAsia="方正仿宋_GBK" w:cs="方正仿宋_GBK"/>
                <w:i w:val="0"/>
                <w:color w:val="000000"/>
                <w:sz w:val="18"/>
                <w:szCs w:val="18"/>
                <w:highlight w:val="none"/>
                <w:u w:val="none"/>
                <w:lang w:val="en-US" w:eastAsia="zh-CN"/>
              </w:rPr>
              <w:t>适用于长21.5cm*宽12cm*</w:t>
            </w:r>
          </w:p>
          <w:p>
            <w:pPr>
              <w:rPr>
                <w:rFonts w:hint="default" w:ascii="方正仿宋_GBK" w:hAnsi="方正仿宋_GBK" w:eastAsia="方正仿宋_GBK" w:cs="方正仿宋_GBK"/>
                <w:i w:val="0"/>
                <w:color w:val="000000"/>
                <w:sz w:val="18"/>
                <w:szCs w:val="18"/>
                <w:highlight w:val="none"/>
                <w:u w:val="none"/>
                <w:lang w:val="en-US" w:eastAsia="zh-CN"/>
              </w:rPr>
            </w:pPr>
            <w:r>
              <w:rPr>
                <w:rFonts w:hint="eastAsia" w:ascii="方正仿宋_GBK" w:hAnsi="方正仿宋_GBK" w:eastAsia="方正仿宋_GBK" w:cs="方正仿宋_GBK"/>
                <w:i w:val="0"/>
                <w:color w:val="000000"/>
                <w:sz w:val="18"/>
                <w:szCs w:val="18"/>
                <w:highlight w:val="none"/>
                <w:u w:val="none"/>
                <w:lang w:val="en-US" w:eastAsia="zh-CN"/>
              </w:rPr>
              <w:t>高17.3cm的牛奶制品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4.5丝</w:t>
            </w:r>
          </w:p>
        </w:tc>
        <w:tc>
          <w:tcPr>
            <w:tcW w:w="1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方正仿宋_GBK" w:hAnsi="方正仿宋_GBK" w:eastAsia="方正仿宋_GBK" w:cs="方正仿宋_GBK"/>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最低报价得2.6分，以最低价得分为基准，价格由低到高依次扣该项20%得分，扣完为止</w:t>
            </w:r>
          </w:p>
        </w:tc>
      </w:tr>
    </w:tbl>
    <w:p>
      <w:pPr>
        <w:spacing w:line="560" w:lineRule="atLeas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2、其它表格：</w:t>
      </w:r>
    </w:p>
    <w:p>
      <w:pP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szCs w:val="24"/>
          <w:lang w:val="en-US" w:eastAsia="zh-CN"/>
        </w:rPr>
        <w:t>仓储企业现场评审表（此表仅为我方现场考察打分使用，不作为响应文件体现）</w:t>
      </w:r>
    </w:p>
    <w:tbl>
      <w:tblPr>
        <w:tblStyle w:val="5"/>
        <w:tblW w:w="8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4"/>
        <w:gridCol w:w="643"/>
        <w:gridCol w:w="1367"/>
        <w:gridCol w:w="3947"/>
        <w:gridCol w:w="595"/>
        <w:gridCol w:w="616"/>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870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仓储企业现场评审表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trPr>
        <w:tc>
          <w:tcPr>
            <w:tcW w:w="870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 xml:space="preserve">评审日期：                                                                                                                               评估人员姓名：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870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 xml:space="preserve">公司名称：                                                                         地址：                                                                                              评审得分：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审核项目</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审核点</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审核内容</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评分规则</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标准分值</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实际得分</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审核结果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8" w:hRule="atLeast"/>
        </w:trPr>
        <w:tc>
          <w:tcPr>
            <w:tcW w:w="8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一、库房安全环境情况  （1.80分）</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消防安全</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库内是否配备消防栓及灭火器，维护情况如何。</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厂区内应当配备必要的消防设施或设备；配电柜、配电箱有警示标识；生产区电源开关有防爆功能；高温设备和设施有隔热层和警示标识；压力容器有安全防护装置；应当为生产区作业人员配备劳动保护用品；均符合得0.50分，相对符合得0.35分，一般得0.25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0.50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b/>
                <w:bCs/>
                <w:i w:val="0"/>
                <w:iCs w:val="0"/>
                <w:color w:val="000000"/>
                <w:sz w:val="15"/>
                <w:szCs w:val="15"/>
                <w:u w:val="none"/>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生产设备</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库房设备维护情况。</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设备设施数量及维护程度，有完整打包流水线得0.25分，无流水线不得分，流水线维护较好得0.25分，流水线维护较差得0.10分。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0.50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b/>
                <w:bCs/>
                <w:i w:val="0"/>
                <w:iCs w:val="0"/>
                <w:color w:val="000000"/>
                <w:sz w:val="15"/>
                <w:szCs w:val="15"/>
                <w:u w:val="none"/>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厂区道路</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厂区道路应顺畅，便于机动车通行。</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厂区道路泥泞或机动车通行不便扣0.20分。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0.40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b/>
                <w:bCs/>
                <w:i w:val="0"/>
                <w:iCs w:val="0"/>
                <w:color w:val="000000"/>
                <w:sz w:val="15"/>
                <w:szCs w:val="15"/>
                <w:u w:val="none"/>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虫害控制</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建立虫害控制方案并按要求执行。</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生产车间、库房制定虫害控制方案，并配有防虫、鼠等动物进入的设施（纱窗、风幕、灭蝇灯等）得0.40分，每不符合一项扣0.10分。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0.40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8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二、现场管理情况（1.20分）</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清洁情况</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各区域清洁情况。</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高架、捡货区、次品区、耗材区清洁维护较好得0.40分，维护较差或摆放杂乱每个区扣0.10分。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0.40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b/>
                <w:bCs/>
                <w:i w:val="0"/>
                <w:iCs w:val="0"/>
                <w:color w:val="000000"/>
                <w:sz w:val="15"/>
                <w:szCs w:val="15"/>
                <w:u w:val="none"/>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区域独立</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仓库生产线及后勤办公均有独立工作区域</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均有独立工作区域得0.40分，不符合条件得0分。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0.40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b/>
                <w:bCs/>
                <w:i w:val="0"/>
                <w:iCs w:val="0"/>
                <w:color w:val="000000"/>
                <w:sz w:val="15"/>
                <w:szCs w:val="15"/>
                <w:u w:val="none"/>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人员出入管理</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人员出入管理情况及执行情况</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有单独人员出口得0.10分、有单独人员入口得0.10分，如出入口通用只得0.10分，有专人值守得0.05分，无专人值守不得分。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0.20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b/>
                <w:bCs/>
                <w:i w:val="0"/>
                <w:iCs w:val="0"/>
                <w:color w:val="000000"/>
                <w:sz w:val="15"/>
                <w:szCs w:val="15"/>
                <w:u w:val="none"/>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货物出入管理</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货物出入管理情况及执行情况</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有单独货物出口得0.10分、有单独货物入口得0.10分，如出入口通用只得0.10分，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0.20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6" w:hRule="atLeast"/>
        </w:trPr>
        <w:tc>
          <w:tcPr>
            <w:tcW w:w="804" w:type="dxa"/>
            <w:tcBorders>
              <w:top w:val="nil"/>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三、现场制度建设  （1.50分）</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制度管理</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现场安全制度、操作规则上墙情况</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有完整的安全制度、人员管理制度、设备使用制度、货物管理制度、操作流程制度得1.50分，缺失一项扣0.30分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1.50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8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四、投标库房区域情况  （1.50分）</w:t>
            </w:r>
          </w:p>
        </w:tc>
        <w:tc>
          <w:tcPr>
            <w:tcW w:w="6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产品码放</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货物、耗材按区域码放</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货物、耗材是否按揽货、次品、存储等要求码放在揽货区、次品区、高架区，按要求码放得0.50分，未按要求码放每个区域扣0.10分。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0.50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b/>
                <w:bCs/>
                <w:i w:val="0"/>
                <w:iCs w:val="0"/>
                <w:color w:val="000000"/>
                <w:sz w:val="15"/>
                <w:szCs w:val="15"/>
                <w:u w:val="none"/>
              </w:rPr>
            </w:pPr>
          </w:p>
        </w:tc>
        <w:tc>
          <w:tcPr>
            <w:tcW w:w="64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5"/>
                <w:szCs w:val="15"/>
                <w:u w:val="none"/>
              </w:rPr>
            </w:pP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货物、耗材码放整齐度</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码放情况良好得0.50分，一般得0.35分，码放较差得0.25分。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0.50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b/>
                <w:bCs/>
                <w:i w:val="0"/>
                <w:iCs w:val="0"/>
                <w:color w:val="000000"/>
                <w:sz w:val="15"/>
                <w:szCs w:val="15"/>
                <w:u w:val="none"/>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5"/>
                <w:szCs w:val="15"/>
                <w:u w:val="none"/>
              </w:rPr>
            </w:pPr>
            <w:r>
              <w:rPr>
                <w:rFonts w:hint="eastAsia" w:ascii="方正仿宋_GBK" w:hAnsi="方正仿宋_GBK" w:eastAsia="方正仿宋_GBK" w:cs="方正仿宋_GBK"/>
                <w:b/>
                <w:bCs/>
                <w:i w:val="0"/>
                <w:iCs w:val="0"/>
                <w:color w:val="000000"/>
                <w:kern w:val="0"/>
                <w:sz w:val="15"/>
                <w:szCs w:val="15"/>
                <w:u w:val="none"/>
                <w:lang w:val="en-US" w:eastAsia="zh-CN" w:bidi="ar"/>
              </w:rPr>
              <w:t>产品装卸口情况</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产品装卸口通畅程度，是否堵塞</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装卸口是否通畅，堵塞一处扣0.10分</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5"/>
                <w:szCs w:val="15"/>
                <w:u w:val="none"/>
              </w:rPr>
            </w:pPr>
            <w:r>
              <w:rPr>
                <w:rFonts w:hint="eastAsia" w:ascii="方正仿宋_GBK" w:hAnsi="方正仿宋_GBK" w:eastAsia="方正仿宋_GBK" w:cs="方正仿宋_GBK"/>
                <w:i w:val="0"/>
                <w:iCs w:val="0"/>
                <w:color w:val="000000"/>
                <w:kern w:val="0"/>
                <w:sz w:val="15"/>
                <w:szCs w:val="15"/>
                <w:u w:val="none"/>
                <w:lang w:val="en-US" w:eastAsia="zh-CN" w:bidi="ar"/>
              </w:rPr>
              <w:t xml:space="preserve">0.50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5"/>
                <w:szCs w:val="15"/>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15"/>
                <w:szCs w:val="15"/>
                <w:u w:val="none"/>
              </w:rPr>
            </w:pPr>
          </w:p>
        </w:tc>
      </w:tr>
    </w:tbl>
    <w:tbl>
      <w:tblPr>
        <w:tblStyle w:val="5"/>
        <w:tblpPr w:leftFromText="180" w:rightFromText="180" w:vertAnchor="text" w:horzAnchor="page" w:tblpX="1657" w:tblpY="73"/>
        <w:tblOverlap w:val="never"/>
        <w:tblW w:w="5346" w:type="pct"/>
        <w:tblInd w:w="0" w:type="dxa"/>
        <w:tblLayout w:type="autofit"/>
        <w:tblCellMar>
          <w:top w:w="0" w:type="dxa"/>
          <w:left w:w="0" w:type="dxa"/>
          <w:bottom w:w="0" w:type="dxa"/>
          <w:right w:w="0" w:type="dxa"/>
        </w:tblCellMar>
      </w:tblPr>
      <w:tblGrid>
        <w:gridCol w:w="201"/>
        <w:gridCol w:w="8637"/>
        <w:gridCol w:w="75"/>
      </w:tblGrid>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jc w:val="left"/>
              <w:textAlignment w:val="center"/>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备注：以上仓储部分报价与快递部分报价均应开具6%增值税专用发票、耗材应开具13%增值税专用发票。</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（四）. 我方承诺在投标有效期内不修改、撤销投标文件，文件每一页均应加盖公章。</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五）．如果我方中标，我方同意本投标函在比选文件规定的提交投标文件截止时间后，在比选文件规定的投标有效期期满前对我方具有约束力，且愿意向贵方提供任何与该投标有关的数据、情况和技术资料并对其真实性负责。</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（六）.文件的密封与标记</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1、比选文件应密封装袋。信封上注明项目名称、投标人名称及地址，信封的封口封条处须注明“不准提前启封”字样并加盖比选人公章或授权代表签字。</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2、如果未按上述规定进行密封和标记，本单位对比选文件误投、丢失或提前拆封不负责任。</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280" w:firstLineChars="100"/>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投标人：                               （单位盖章）</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280" w:firstLineChars="100"/>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法定代表人或其委托代理人：             （签字或盖章）</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280" w:firstLineChars="100"/>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 xml:space="preserve">地址：                                                                  </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280" w:firstLineChars="100"/>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 xml:space="preserve">电话：                                 </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280" w:firstLineChars="100"/>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 xml:space="preserve">传真：                                 </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280" w:firstLineChars="100"/>
              <w:jc w:val="lef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 xml:space="preserve">邮政编码：                                                            </w:t>
            </w:r>
          </w:p>
        </w:tc>
      </w:tr>
      <w:tr>
        <w:tblPrEx>
          <w:tblCellMar>
            <w:top w:w="0" w:type="dxa"/>
            <w:left w:w="0" w:type="dxa"/>
            <w:bottom w:w="0" w:type="dxa"/>
            <w:right w:w="0" w:type="dxa"/>
          </w:tblCellMar>
        </w:tblPrEx>
        <w:trPr>
          <w:trHeight w:val="375" w:hRule="atLeast"/>
        </w:trPr>
        <w:tc>
          <w:tcPr>
            <w:tcW w:w="5000" w:type="pct"/>
            <w:gridSpan w:val="3"/>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 xml:space="preserve">                                               年    月    日</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textAlignment w:val="center"/>
              <w:rPr>
                <w:rFonts w:hint="eastAsia" w:ascii="方正仿宋_GBK" w:hAnsi="方正仿宋_GBK" w:eastAsia="方正仿宋_GBK" w:cs="方正仿宋_GBK"/>
                <w:kern w:val="0"/>
                <w:sz w:val="28"/>
                <w:szCs w:val="28"/>
                <w:lang w:bidi="ar"/>
              </w:rPr>
            </w:pPr>
          </w:p>
          <w:p>
            <w:pPr>
              <w:widowControl/>
              <w:spacing w:line="560" w:lineRule="atLeast"/>
              <w:textAlignment w:val="center"/>
              <w:rPr>
                <w:rFonts w:hint="eastAsia" w:ascii="方正仿宋_GBK" w:hAnsi="方正仿宋_GBK" w:eastAsia="方正仿宋_GBK" w:cs="方正仿宋_GBK"/>
                <w:kern w:val="0"/>
                <w:sz w:val="28"/>
                <w:szCs w:val="28"/>
                <w:lang w:bidi="ar"/>
              </w:rPr>
            </w:pPr>
          </w:p>
          <w:p>
            <w:pPr>
              <w:widowControl/>
              <w:spacing w:line="560" w:lineRule="atLeast"/>
              <w:textAlignment w:val="center"/>
              <w:rPr>
                <w:rFonts w:hint="eastAsia" w:ascii="方正仿宋_GBK" w:hAnsi="方正仿宋_GBK" w:eastAsia="方正仿宋_GBK" w:cs="方正仿宋_GBK"/>
                <w:kern w:val="0"/>
                <w:sz w:val="28"/>
                <w:szCs w:val="28"/>
                <w:lang w:bidi="ar"/>
              </w:rPr>
            </w:pPr>
          </w:p>
          <w:p>
            <w:pPr>
              <w:widowControl/>
              <w:spacing w:line="560" w:lineRule="atLeast"/>
              <w:textAlignment w:val="center"/>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（七）法定代表人身份证明及授权委托书</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spacing w:line="560" w:lineRule="atLeas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gridBefore w:val="1"/>
          <w:gridAfter w:val="1"/>
          <w:wBefore w:w="113" w:type="pct"/>
          <w:wAfter w:w="40" w:type="pct"/>
          <w:trHeight w:val="360"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jc w:val="left"/>
              <w:textAlignment w:val="center"/>
              <w:rPr>
                <w:rFonts w:ascii="Arial" w:hAnsi="Arial" w:cs="Arial"/>
                <w:sz w:val="28"/>
                <w:szCs w:val="28"/>
              </w:rPr>
            </w:pPr>
            <w:r>
              <w:rPr>
                <w:rFonts w:ascii="Arial" w:hAnsi="Arial" w:cs="Arial"/>
                <w:kern w:val="0"/>
                <w:sz w:val="28"/>
                <w:szCs w:val="28"/>
                <w:lang w:bidi="ar"/>
              </w:rPr>
              <w:t xml:space="preserve">  </w:t>
            </w:r>
            <w:r>
              <w:rPr>
                <w:rStyle w:val="12"/>
                <w:rFonts w:hint="default"/>
                <w:color w:val="auto"/>
                <w:lang w:bidi="ar"/>
              </w:rPr>
              <w:t>法定代表人身份证明</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 xml:space="preserve">  投标人名称：                                 </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 xml:space="preserve">单位性质：                                   </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 xml:space="preserve">地址：                                      </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成立时间：        年    月       日</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 xml:space="preserve">经营期限：                                 </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姓名：           性别：        年龄：       职务：       _</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系                                （投标人名称）的法定代表人。</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特此证明。</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投标人：                      （盖单位章）</w:t>
            </w:r>
          </w:p>
        </w:tc>
      </w:tr>
      <w:tr>
        <w:tblPrEx>
          <w:tblCellMar>
            <w:top w:w="0" w:type="dxa"/>
            <w:left w:w="0" w:type="dxa"/>
            <w:bottom w:w="0" w:type="dxa"/>
            <w:right w:w="0" w:type="dxa"/>
          </w:tblCellMar>
        </w:tblPrEx>
        <w:trPr>
          <w:gridBefore w:val="1"/>
          <w:gridAfter w:val="1"/>
          <w:wBefore w:w="113" w:type="pct"/>
          <w:wAfter w:w="40" w:type="pct"/>
          <w:trHeight w:val="375" w:hRule="atLeast"/>
        </w:trPr>
        <w:tc>
          <w:tcPr>
            <w:tcW w:w="4845" w:type="pct"/>
            <w:tcBorders>
              <w:top w:val="nil"/>
              <w:left w:val="nil"/>
              <w:bottom w:val="nil"/>
              <w:right w:val="nil"/>
            </w:tcBorders>
            <w:shd w:val="clear" w:color="auto" w:fill="FFFFFF"/>
            <w:noWrap w:val="0"/>
            <w:tcMar>
              <w:top w:w="15" w:type="dxa"/>
              <w:left w:w="15" w:type="dxa"/>
              <w:right w:w="15" w:type="dxa"/>
            </w:tcMar>
            <w:vAlign w:val="center"/>
          </w:tcPr>
          <w:p>
            <w:pPr>
              <w:widowControl/>
              <w:spacing w:line="560" w:lineRule="atLeast"/>
              <w:ind w:firstLine="4200" w:firstLineChars="15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 xml:space="preserve">        年    月     日</w:t>
            </w:r>
          </w:p>
        </w:tc>
      </w:tr>
    </w:tbl>
    <w:p/>
    <w:tbl>
      <w:tblPr>
        <w:tblStyle w:val="5"/>
        <w:tblW w:w="8640" w:type="dxa"/>
        <w:tblInd w:w="0" w:type="dxa"/>
        <w:tblLayout w:type="autofit"/>
        <w:tblCellMar>
          <w:top w:w="0" w:type="dxa"/>
          <w:left w:w="0" w:type="dxa"/>
          <w:bottom w:w="0" w:type="dxa"/>
          <w:right w:w="0" w:type="dxa"/>
        </w:tblCellMar>
      </w:tblPr>
      <w:tblGrid>
        <w:gridCol w:w="3840"/>
        <w:gridCol w:w="960"/>
        <w:gridCol w:w="3840"/>
      </w:tblGrid>
      <w:tr>
        <w:tblPrEx>
          <w:tblCellMar>
            <w:top w:w="0" w:type="dxa"/>
            <w:left w:w="0" w:type="dxa"/>
            <w:bottom w:w="0" w:type="dxa"/>
            <w:right w:w="0" w:type="dxa"/>
          </w:tblCellMar>
        </w:tblPrEx>
        <w:trPr>
          <w:trHeight w:val="710" w:hRule="atLeast"/>
        </w:trPr>
        <w:tc>
          <w:tcPr>
            <w:tcW w:w="3840" w:type="dxa"/>
            <w:vMerge w:val="restart"/>
            <w:tcBorders>
              <w:top w:val="nil"/>
              <w:left w:val="nil"/>
              <w:bottom w:val="nil"/>
              <w:right w:val="nil"/>
            </w:tcBorders>
            <w:noWrap w:val="0"/>
            <w:tcMar>
              <w:top w:w="15" w:type="dxa"/>
              <w:left w:w="15" w:type="dxa"/>
              <w:right w:w="15" w:type="dxa"/>
            </w:tcMar>
            <w:vAlign w:val="center"/>
          </w:tcPr>
          <w:p>
            <w:pPr>
              <w:widowControl/>
              <w:spacing w:line="560" w:lineRule="atLeast"/>
              <w:jc w:val="center"/>
              <w:textAlignment w:val="center"/>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法定代表人身份证复印件</w:t>
            </w:r>
          </w:p>
        </w:tc>
        <w:tc>
          <w:tcPr>
            <w:tcW w:w="960" w:type="dxa"/>
            <w:tcBorders>
              <w:top w:val="nil"/>
              <w:left w:val="nil"/>
              <w:bottom w:val="nil"/>
              <w:right w:val="nil"/>
            </w:tcBorders>
            <w:noWrap/>
            <w:tcMar>
              <w:top w:w="15" w:type="dxa"/>
              <w:left w:w="15" w:type="dxa"/>
              <w:right w:w="15" w:type="dxa"/>
            </w:tcMar>
            <w:vAlign w:val="center"/>
          </w:tcPr>
          <w:p>
            <w:pPr>
              <w:spacing w:line="560" w:lineRule="atLeast"/>
              <w:rPr>
                <w:rFonts w:hint="eastAsia" w:ascii="宋体" w:hAnsi="宋体" w:cs="宋体"/>
                <w:sz w:val="22"/>
                <w:szCs w:val="22"/>
              </w:rPr>
            </w:pPr>
          </w:p>
        </w:tc>
        <w:tc>
          <w:tcPr>
            <w:tcW w:w="3840" w:type="dxa"/>
            <w:vMerge w:val="restart"/>
            <w:tcBorders>
              <w:top w:val="nil"/>
              <w:left w:val="dashed" w:color="000000" w:sz="8" w:space="0"/>
              <w:bottom w:val="nil"/>
              <w:right w:val="nil"/>
            </w:tcBorders>
            <w:noWrap w:val="0"/>
            <w:tcMar>
              <w:top w:w="15" w:type="dxa"/>
              <w:left w:w="15" w:type="dxa"/>
              <w:right w:w="15" w:type="dxa"/>
            </w:tcMar>
            <w:vAlign w:val="center"/>
          </w:tcPr>
          <w:p>
            <w:pPr>
              <w:widowControl/>
              <w:spacing w:line="560" w:lineRule="atLeas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法定代表人身份证复印件</w:t>
            </w:r>
          </w:p>
        </w:tc>
      </w:tr>
      <w:tr>
        <w:tblPrEx>
          <w:tblCellMar>
            <w:top w:w="0" w:type="dxa"/>
            <w:left w:w="0" w:type="dxa"/>
            <w:bottom w:w="0" w:type="dxa"/>
            <w:right w:w="0" w:type="dxa"/>
          </w:tblCellMar>
        </w:tblPrEx>
        <w:trPr>
          <w:trHeight w:val="710" w:hRule="atLeast"/>
        </w:trPr>
        <w:tc>
          <w:tcPr>
            <w:tcW w:w="3840" w:type="dxa"/>
            <w:vMerge w:val="continue"/>
            <w:tcBorders>
              <w:top w:val="nil"/>
              <w:left w:val="nil"/>
              <w:bottom w:val="nil"/>
              <w:right w:val="nil"/>
            </w:tcBorders>
            <w:noWrap w:val="0"/>
            <w:tcMar>
              <w:top w:w="15" w:type="dxa"/>
              <w:left w:w="15" w:type="dxa"/>
              <w:right w:w="15" w:type="dxa"/>
            </w:tcMar>
            <w:vAlign w:val="center"/>
          </w:tcPr>
          <w:p>
            <w:pPr>
              <w:spacing w:line="560" w:lineRule="atLeast"/>
              <w:jc w:val="center"/>
              <w:rPr>
                <w:rFonts w:hint="eastAsia" w:ascii="方正仿宋_GBK" w:hAnsi="方正仿宋_GBK" w:eastAsia="方正仿宋_GBK" w:cs="方正仿宋_GBK"/>
                <w:sz w:val="28"/>
                <w:szCs w:val="28"/>
              </w:rPr>
            </w:pPr>
          </w:p>
        </w:tc>
        <w:tc>
          <w:tcPr>
            <w:tcW w:w="0" w:type="auto"/>
            <w:tcBorders>
              <w:top w:val="nil"/>
              <w:left w:val="nil"/>
              <w:bottom w:val="nil"/>
              <w:right w:val="nil"/>
            </w:tcBorders>
            <w:noWrap/>
            <w:tcMar>
              <w:top w:w="15" w:type="dxa"/>
              <w:left w:w="15" w:type="dxa"/>
              <w:right w:w="15" w:type="dxa"/>
            </w:tcMar>
            <w:vAlign w:val="center"/>
          </w:tcPr>
          <w:p>
            <w:pPr>
              <w:spacing w:line="560" w:lineRule="atLeast"/>
              <w:rPr>
                <w:rFonts w:hint="eastAsia" w:ascii="宋体" w:hAnsi="宋体" w:cs="宋体"/>
                <w:sz w:val="22"/>
                <w:szCs w:val="22"/>
              </w:rPr>
            </w:pPr>
          </w:p>
        </w:tc>
        <w:tc>
          <w:tcPr>
            <w:tcW w:w="3840" w:type="dxa"/>
            <w:vMerge w:val="continue"/>
            <w:tcBorders>
              <w:top w:val="nil"/>
              <w:left w:val="dashed" w:color="000000" w:sz="8" w:space="0"/>
              <w:bottom w:val="nil"/>
              <w:right w:val="nil"/>
            </w:tcBorders>
            <w:noWrap w:val="0"/>
            <w:tcMar>
              <w:top w:w="15" w:type="dxa"/>
              <w:left w:w="15" w:type="dxa"/>
              <w:right w:w="15" w:type="dxa"/>
            </w:tcMar>
            <w:vAlign w:val="center"/>
          </w:tcPr>
          <w:p>
            <w:pPr>
              <w:spacing w:line="560" w:lineRule="atLeas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710" w:hRule="atLeast"/>
        </w:trPr>
        <w:tc>
          <w:tcPr>
            <w:tcW w:w="3840" w:type="dxa"/>
            <w:vMerge w:val="continue"/>
            <w:tcBorders>
              <w:top w:val="nil"/>
              <w:left w:val="nil"/>
              <w:bottom w:val="nil"/>
              <w:right w:val="nil"/>
            </w:tcBorders>
            <w:noWrap w:val="0"/>
            <w:tcMar>
              <w:top w:w="15" w:type="dxa"/>
              <w:left w:w="15" w:type="dxa"/>
              <w:right w:w="15" w:type="dxa"/>
            </w:tcMar>
            <w:vAlign w:val="center"/>
          </w:tcPr>
          <w:p>
            <w:pPr>
              <w:spacing w:line="560" w:lineRule="atLeast"/>
              <w:jc w:val="center"/>
              <w:rPr>
                <w:rFonts w:hint="eastAsia" w:ascii="方正仿宋_GBK" w:hAnsi="方正仿宋_GBK" w:eastAsia="方正仿宋_GBK" w:cs="方正仿宋_GBK"/>
                <w:sz w:val="28"/>
                <w:szCs w:val="28"/>
              </w:rPr>
            </w:pPr>
          </w:p>
        </w:tc>
        <w:tc>
          <w:tcPr>
            <w:tcW w:w="0" w:type="auto"/>
            <w:tcBorders>
              <w:top w:val="nil"/>
              <w:left w:val="nil"/>
              <w:bottom w:val="nil"/>
              <w:right w:val="nil"/>
            </w:tcBorders>
            <w:noWrap/>
            <w:tcMar>
              <w:top w:w="15" w:type="dxa"/>
              <w:left w:w="15" w:type="dxa"/>
              <w:right w:w="15" w:type="dxa"/>
            </w:tcMar>
            <w:vAlign w:val="center"/>
          </w:tcPr>
          <w:p>
            <w:pPr>
              <w:spacing w:line="560" w:lineRule="atLeast"/>
              <w:rPr>
                <w:rFonts w:hint="eastAsia" w:ascii="宋体" w:hAnsi="宋体" w:cs="宋体"/>
                <w:sz w:val="22"/>
                <w:szCs w:val="22"/>
              </w:rPr>
            </w:pPr>
          </w:p>
        </w:tc>
        <w:tc>
          <w:tcPr>
            <w:tcW w:w="3840" w:type="dxa"/>
            <w:vMerge w:val="continue"/>
            <w:tcBorders>
              <w:top w:val="nil"/>
              <w:left w:val="dashed" w:color="000000" w:sz="8" w:space="0"/>
              <w:bottom w:val="nil"/>
              <w:right w:val="nil"/>
            </w:tcBorders>
            <w:noWrap w:val="0"/>
            <w:tcMar>
              <w:top w:w="15" w:type="dxa"/>
              <w:left w:w="15" w:type="dxa"/>
              <w:right w:w="15" w:type="dxa"/>
            </w:tcMar>
            <w:vAlign w:val="center"/>
          </w:tcPr>
          <w:p>
            <w:pPr>
              <w:spacing w:line="560" w:lineRule="atLeast"/>
              <w:jc w:val="center"/>
              <w:rPr>
                <w:rFonts w:hint="eastAsia" w:ascii="方正仿宋_GBK" w:hAnsi="方正仿宋_GBK" w:eastAsia="方正仿宋_GBK" w:cs="方正仿宋_GBK"/>
                <w:sz w:val="28"/>
                <w:szCs w:val="28"/>
              </w:rPr>
            </w:pPr>
          </w:p>
        </w:tc>
      </w:tr>
      <w:tr>
        <w:tblPrEx>
          <w:tblCellMar>
            <w:top w:w="0" w:type="dxa"/>
            <w:left w:w="0" w:type="dxa"/>
            <w:bottom w:w="0" w:type="dxa"/>
            <w:right w:w="0" w:type="dxa"/>
          </w:tblCellMar>
        </w:tblPrEx>
        <w:trPr>
          <w:trHeight w:val="710" w:hRule="atLeast"/>
        </w:trPr>
        <w:tc>
          <w:tcPr>
            <w:tcW w:w="3840" w:type="dxa"/>
            <w:vMerge w:val="continue"/>
            <w:tcBorders>
              <w:top w:val="nil"/>
              <w:left w:val="nil"/>
              <w:bottom w:val="nil"/>
              <w:right w:val="nil"/>
            </w:tcBorders>
            <w:noWrap w:val="0"/>
            <w:tcMar>
              <w:top w:w="15" w:type="dxa"/>
              <w:left w:w="15" w:type="dxa"/>
              <w:right w:w="15" w:type="dxa"/>
            </w:tcMar>
            <w:vAlign w:val="center"/>
          </w:tcPr>
          <w:p>
            <w:pPr>
              <w:spacing w:line="560" w:lineRule="atLeast"/>
              <w:jc w:val="center"/>
              <w:rPr>
                <w:rFonts w:hint="eastAsia" w:ascii="方正仿宋_GBK" w:hAnsi="方正仿宋_GBK" w:eastAsia="方正仿宋_GBK" w:cs="方正仿宋_GBK"/>
                <w:sz w:val="28"/>
                <w:szCs w:val="28"/>
              </w:rPr>
            </w:pPr>
          </w:p>
        </w:tc>
        <w:tc>
          <w:tcPr>
            <w:tcW w:w="0" w:type="auto"/>
            <w:tcBorders>
              <w:top w:val="nil"/>
              <w:left w:val="nil"/>
              <w:bottom w:val="nil"/>
              <w:right w:val="nil"/>
            </w:tcBorders>
            <w:noWrap/>
            <w:tcMar>
              <w:top w:w="15" w:type="dxa"/>
              <w:left w:w="15" w:type="dxa"/>
              <w:right w:w="15" w:type="dxa"/>
            </w:tcMar>
            <w:vAlign w:val="center"/>
          </w:tcPr>
          <w:p>
            <w:pPr>
              <w:spacing w:line="560" w:lineRule="atLeast"/>
              <w:rPr>
                <w:rFonts w:hint="eastAsia" w:ascii="宋体" w:hAnsi="宋体" w:cs="宋体"/>
                <w:sz w:val="22"/>
                <w:szCs w:val="22"/>
              </w:rPr>
            </w:pPr>
          </w:p>
        </w:tc>
        <w:tc>
          <w:tcPr>
            <w:tcW w:w="3840" w:type="dxa"/>
            <w:vMerge w:val="continue"/>
            <w:tcBorders>
              <w:top w:val="nil"/>
              <w:left w:val="dashed" w:color="000000" w:sz="8" w:space="0"/>
              <w:bottom w:val="nil"/>
              <w:right w:val="nil"/>
            </w:tcBorders>
            <w:noWrap w:val="0"/>
            <w:tcMar>
              <w:top w:w="15" w:type="dxa"/>
              <w:left w:w="15" w:type="dxa"/>
              <w:right w:w="15" w:type="dxa"/>
            </w:tcMar>
            <w:vAlign w:val="center"/>
          </w:tcPr>
          <w:p>
            <w:pPr>
              <w:spacing w:line="560" w:lineRule="atLeast"/>
              <w:jc w:val="center"/>
              <w:rPr>
                <w:rFonts w:hint="eastAsia" w:ascii="方正仿宋_GBK" w:hAnsi="方正仿宋_GBK" w:eastAsia="方正仿宋_GBK" w:cs="方正仿宋_GBK"/>
                <w:sz w:val="28"/>
                <w:szCs w:val="28"/>
              </w:rPr>
            </w:pPr>
          </w:p>
        </w:tc>
      </w:tr>
    </w:tbl>
    <w:p>
      <w:pPr>
        <w:pStyle w:val="2"/>
        <w:numPr>
          <w:ilvl w:val="0"/>
          <w:numId w:val="3"/>
        </w:numPr>
        <w:tabs>
          <w:tab w:val="left" w:pos="2754"/>
        </w:tabs>
        <w:jc w:val="center"/>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授权委托书（供参考，可自行编制）</w:t>
      </w:r>
    </w:p>
    <w:p>
      <w:pPr>
        <w:pStyle w:val="2"/>
        <w:tabs>
          <w:tab w:val="left" w:pos="2754"/>
        </w:tabs>
        <w:spacing w:before="0" w:after="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本人  </w:t>
      </w: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 xml:space="preserve"> （姓名）系         </w:t>
      </w: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 xml:space="preserve"> （投标人名称）的法定代表人，现委托         （姓名）为本单位投标代理人，全权代表本单位全过程参与  </w:t>
      </w: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（项目名称）的投标工作。以我方名义签署、澄清、说明、补正、撤回、修改，签订合同以及处理与投标的其他有关事宜。投标代理人以上行为所产生的法律后果全由我单位承担。投标代理人无权转委托。</w:t>
      </w:r>
    </w:p>
    <w:p>
      <w:pPr>
        <w:pStyle w:val="2"/>
        <w:tabs>
          <w:tab w:val="left" w:pos="2754"/>
        </w:tabs>
        <w:spacing w:before="0" w:after="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委托期限：</w:t>
      </w:r>
    </w:p>
    <w:p>
      <w:pPr>
        <w:pStyle w:val="2"/>
        <w:tabs>
          <w:tab w:val="left" w:pos="2754"/>
        </w:tabs>
        <w:spacing w:before="0" w:after="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代理人无转委托权。</w:t>
      </w:r>
    </w:p>
    <w:p>
      <w:pPr>
        <w:pStyle w:val="2"/>
        <w:tabs>
          <w:tab w:val="left" w:pos="2754"/>
        </w:tabs>
        <w:spacing w:before="0" w:after="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特此委托</w:t>
      </w:r>
    </w:p>
    <w:p>
      <w:pPr>
        <w:pStyle w:val="2"/>
        <w:tabs>
          <w:tab w:val="left" w:pos="2754"/>
        </w:tabs>
        <w:spacing w:before="0" w:after="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投标人：                          （盖单位章）</w:t>
      </w:r>
    </w:p>
    <w:p>
      <w:pPr>
        <w:pStyle w:val="2"/>
        <w:tabs>
          <w:tab w:val="left" w:pos="2754"/>
        </w:tabs>
        <w:spacing w:before="0" w:after="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法定代表人：                    （签字或盖章）</w:t>
      </w:r>
    </w:p>
    <w:p>
      <w:pPr>
        <w:pStyle w:val="2"/>
        <w:tabs>
          <w:tab w:val="left" w:pos="2754"/>
        </w:tabs>
        <w:spacing w:before="0" w:after="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身份证号码：                                                   </w:t>
      </w:r>
    </w:p>
    <w:p>
      <w:pPr>
        <w:pStyle w:val="2"/>
        <w:tabs>
          <w:tab w:val="left" w:pos="2754"/>
        </w:tabs>
        <w:spacing w:before="0" w:after="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委托代理人：                    （签字或盖章）</w:t>
      </w:r>
    </w:p>
    <w:p>
      <w:pPr>
        <w:pStyle w:val="2"/>
        <w:tabs>
          <w:tab w:val="left" w:pos="2754"/>
        </w:tabs>
        <w:spacing w:before="0" w:after="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身份证号码：   </w:t>
      </w:r>
    </w:p>
    <w:p>
      <w:pPr>
        <w:pStyle w:val="2"/>
        <w:tabs>
          <w:tab w:val="left" w:pos="2754"/>
        </w:tabs>
        <w:spacing w:before="0" w:after="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      年    月    日   </w:t>
      </w:r>
    </w:p>
    <w:tbl>
      <w:tblPr>
        <w:tblStyle w:val="5"/>
        <w:tblW w:w="8640" w:type="dxa"/>
        <w:tblInd w:w="0" w:type="dxa"/>
        <w:tblLayout w:type="autofit"/>
        <w:tblCellMar>
          <w:top w:w="0" w:type="dxa"/>
          <w:left w:w="0" w:type="dxa"/>
          <w:bottom w:w="0" w:type="dxa"/>
          <w:right w:w="0" w:type="dxa"/>
        </w:tblCellMar>
      </w:tblPr>
      <w:tblGrid>
        <w:gridCol w:w="3840"/>
        <w:gridCol w:w="960"/>
        <w:gridCol w:w="3840"/>
      </w:tblGrid>
      <w:tr>
        <w:tblPrEx>
          <w:tblCellMar>
            <w:top w:w="0" w:type="dxa"/>
            <w:left w:w="0" w:type="dxa"/>
            <w:bottom w:w="0" w:type="dxa"/>
            <w:right w:w="0" w:type="dxa"/>
          </w:tblCellMar>
        </w:tblPrEx>
        <w:trPr>
          <w:trHeight w:val="710" w:hRule="atLeast"/>
        </w:trPr>
        <w:tc>
          <w:tcPr>
            <w:tcW w:w="3840" w:type="dxa"/>
            <w:vMerge w:val="restart"/>
            <w:tcBorders>
              <w:top w:val="nil"/>
              <w:left w:val="nil"/>
              <w:bottom w:val="nil"/>
              <w:right w:val="nil"/>
            </w:tcBorders>
            <w:noWrap w:val="0"/>
            <w:tcMar>
              <w:top w:w="15" w:type="dxa"/>
              <w:left w:w="15" w:type="dxa"/>
              <w:right w:w="15" w:type="dxa"/>
            </w:tcMar>
            <w:vAlign w:val="center"/>
          </w:tcPr>
          <w:p>
            <w:pPr>
              <w:widowControl/>
              <w:spacing w:line="560" w:lineRule="atLeast"/>
              <w:jc w:val="center"/>
              <w:textAlignment w:val="center"/>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法定代表人身份证复印件</w:t>
            </w:r>
          </w:p>
        </w:tc>
        <w:tc>
          <w:tcPr>
            <w:tcW w:w="960" w:type="dxa"/>
            <w:tcBorders>
              <w:top w:val="nil"/>
              <w:left w:val="nil"/>
              <w:bottom w:val="nil"/>
              <w:right w:val="nil"/>
            </w:tcBorders>
            <w:noWrap/>
            <w:tcMar>
              <w:top w:w="15" w:type="dxa"/>
              <w:left w:w="15" w:type="dxa"/>
              <w:right w:w="15" w:type="dxa"/>
            </w:tcMar>
            <w:vAlign w:val="center"/>
          </w:tcPr>
          <w:p>
            <w:pPr>
              <w:spacing w:line="560" w:lineRule="atLeast"/>
              <w:rPr>
                <w:rFonts w:hint="eastAsia" w:ascii="宋体" w:hAnsi="宋体" w:cs="宋体"/>
                <w:sz w:val="22"/>
                <w:szCs w:val="22"/>
              </w:rPr>
            </w:pPr>
          </w:p>
        </w:tc>
        <w:tc>
          <w:tcPr>
            <w:tcW w:w="3840" w:type="dxa"/>
            <w:vMerge w:val="restart"/>
            <w:tcBorders>
              <w:top w:val="nil"/>
              <w:left w:val="dashed" w:color="000000" w:sz="8" w:space="0"/>
              <w:bottom w:val="nil"/>
              <w:right w:val="nil"/>
            </w:tcBorders>
            <w:noWrap w:val="0"/>
            <w:tcMar>
              <w:top w:w="15" w:type="dxa"/>
              <w:left w:w="15" w:type="dxa"/>
              <w:right w:w="15" w:type="dxa"/>
            </w:tcMar>
            <w:vAlign w:val="center"/>
          </w:tcPr>
          <w:p>
            <w:pPr>
              <w:widowControl/>
              <w:spacing w:line="560" w:lineRule="atLeast"/>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法定代表人身份证复印件</w:t>
            </w:r>
          </w:p>
        </w:tc>
      </w:tr>
      <w:tr>
        <w:tblPrEx>
          <w:tblCellMar>
            <w:top w:w="0" w:type="dxa"/>
            <w:left w:w="0" w:type="dxa"/>
            <w:bottom w:w="0" w:type="dxa"/>
            <w:right w:w="0" w:type="dxa"/>
          </w:tblCellMar>
        </w:tblPrEx>
        <w:trPr>
          <w:trHeight w:val="710" w:hRule="atLeast"/>
        </w:trPr>
        <w:tc>
          <w:tcPr>
            <w:tcW w:w="3840" w:type="dxa"/>
            <w:vMerge w:val="continue"/>
            <w:tcBorders>
              <w:top w:val="nil"/>
              <w:left w:val="nil"/>
              <w:bottom w:val="nil"/>
              <w:right w:val="nil"/>
            </w:tcBorders>
            <w:noWrap w:val="0"/>
            <w:tcMar>
              <w:top w:w="15" w:type="dxa"/>
              <w:left w:w="15" w:type="dxa"/>
              <w:right w:w="15" w:type="dxa"/>
            </w:tcMar>
            <w:vAlign w:val="center"/>
          </w:tcPr>
          <w:p>
            <w:pPr>
              <w:spacing w:line="560" w:lineRule="atLeast"/>
              <w:jc w:val="center"/>
              <w:rPr>
                <w:rFonts w:hint="eastAsia" w:ascii="方正仿宋_GBK" w:hAnsi="方正仿宋_GBK" w:eastAsia="方正仿宋_GBK" w:cs="方正仿宋_GBK"/>
                <w:sz w:val="28"/>
                <w:szCs w:val="28"/>
              </w:rPr>
            </w:pPr>
          </w:p>
        </w:tc>
        <w:tc>
          <w:tcPr>
            <w:tcW w:w="0" w:type="auto"/>
            <w:tcBorders>
              <w:top w:val="nil"/>
              <w:left w:val="nil"/>
              <w:bottom w:val="nil"/>
              <w:right w:val="nil"/>
            </w:tcBorders>
            <w:noWrap/>
            <w:tcMar>
              <w:top w:w="15" w:type="dxa"/>
              <w:left w:w="15" w:type="dxa"/>
              <w:right w:w="15" w:type="dxa"/>
            </w:tcMar>
            <w:vAlign w:val="center"/>
          </w:tcPr>
          <w:p>
            <w:pPr>
              <w:spacing w:line="560" w:lineRule="atLeast"/>
              <w:rPr>
                <w:rFonts w:hint="eastAsia" w:ascii="宋体" w:hAnsi="宋体" w:cs="宋体"/>
                <w:sz w:val="22"/>
                <w:szCs w:val="22"/>
              </w:rPr>
            </w:pPr>
          </w:p>
        </w:tc>
        <w:tc>
          <w:tcPr>
            <w:tcW w:w="3840" w:type="dxa"/>
            <w:vMerge w:val="continue"/>
            <w:tcBorders>
              <w:top w:val="nil"/>
              <w:left w:val="dashed" w:color="000000" w:sz="8" w:space="0"/>
              <w:bottom w:val="nil"/>
              <w:right w:val="nil"/>
            </w:tcBorders>
            <w:noWrap w:val="0"/>
            <w:tcMar>
              <w:top w:w="15" w:type="dxa"/>
              <w:left w:w="15" w:type="dxa"/>
              <w:right w:w="15" w:type="dxa"/>
            </w:tcMar>
            <w:vAlign w:val="center"/>
          </w:tcPr>
          <w:p>
            <w:pPr>
              <w:spacing w:line="560" w:lineRule="atLeast"/>
              <w:jc w:val="center"/>
              <w:rPr>
                <w:rFonts w:hint="eastAsia" w:ascii="方正仿宋_GBK" w:hAnsi="方正仿宋_GBK" w:eastAsia="方正仿宋_GBK" w:cs="方正仿宋_GBK"/>
                <w:sz w:val="28"/>
                <w:szCs w:val="28"/>
              </w:rPr>
            </w:pPr>
          </w:p>
        </w:tc>
      </w:tr>
    </w:tbl>
    <w:p>
      <w:pPr>
        <w:pStyle w:val="2"/>
        <w:rPr>
          <w:rFonts w:hint="default"/>
          <w:lang w:val="en-US" w:eastAsia="zh-CN"/>
        </w:rPr>
      </w:pPr>
    </w:p>
    <w:p>
      <w:pPr>
        <w:spacing w:line="560" w:lineRule="atLeast"/>
        <w:jc w:val="cente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bookmarkEnd w:id="17"/>
    <w:bookmarkEnd w:id="18"/>
    <w:p/>
    <w:p>
      <w:pPr>
        <w:pStyle w:val="2"/>
      </w:pPr>
    </w:p>
    <w:p/>
    <w:p>
      <w:pPr>
        <w:pStyle w:val="2"/>
      </w:pPr>
    </w:p>
    <w:p/>
    <w:p>
      <w:pPr>
        <w:pStyle w:val="2"/>
      </w:pPr>
    </w:p>
    <w:p/>
    <w:p>
      <w:pPr>
        <w:pStyle w:val="2"/>
      </w:pPr>
    </w:p>
    <w:p/>
    <w:p>
      <w:pPr>
        <w:pStyle w:val="2"/>
      </w:pPr>
    </w:p>
    <w:p>
      <w:pPr>
        <w:pStyle w:val="2"/>
        <w:tabs>
          <w:tab w:val="left" w:pos="2754"/>
          <w:tab w:val="clear" w:pos="4153"/>
        </w:tabs>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第五章：合同签订</w:t>
      </w:r>
    </w:p>
    <w:p>
      <w:pPr>
        <w:tabs>
          <w:tab w:val="left" w:pos="5580"/>
          <w:tab w:val="left" w:pos="5940"/>
        </w:tabs>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    方: 中垦供应链管理有限公司</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 所 地: 重庆市渝北区金渝大道85号汉国中心a栋17楼</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法定代表人: </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乙    方: </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 所 地:</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法定代表人: </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甲、乙双方本着平等、自愿的原则，根据《中华人民共和国民法典》及有关法律、法规之规定，经过友好协商，就乙方向甲方提供货物仓储和配送等服务事宜签订本协议。</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一、仓储货物</w:t>
      </w:r>
    </w:p>
    <w:p>
      <w:pPr>
        <w:spacing w:line="560" w:lineRule="atLeas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甲方委托乙方储存、保管并依甲方的指令包装、配送其交付给乙方的货物，货物的具体品名、款式、颜色、规格、数量以甲乙双方每次交付保管时的收货交接单为准。</w:t>
      </w:r>
    </w:p>
    <w:p>
      <w:pPr>
        <w:spacing w:line="560" w:lineRule="atLeas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甲方保证，其依本合同交付的货物不侵害任何第三方的物主权、知识产权或其他权利，甲方依法有权将其交由乙方进行仓储管理、包装及运输；乙方因甲方货物权利瑕疵而遭受的任何损失，将由甲方实际承担。</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二、仓储场所</w:t>
      </w:r>
    </w:p>
    <w:p>
      <w:pPr>
        <w:spacing w:line="560" w:lineRule="atLeas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仓库地址： </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三、仓储期限</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（一）本合同有效期自</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日起，至</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日止。</w:t>
      </w:r>
    </w:p>
    <w:p>
      <w:pPr>
        <w:spacing w:line="560" w:lineRule="atLeast"/>
        <w:ind w:left="700" w:hanging="700" w:hangingChars="2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如果本合同届满前六十天，甲乙任何一方未向另一方以书面形式通知终止本合同，则本合同自动延续十二个月，如果在本合同有效期内，双方对合同条款进行了修正，则在延续执行本合同期间，按双方同意的修正条款执行，否则按本合同条款执行。</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四、货物进出库</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乙方的正常工作时间为（9:00-18:00），甲方应提前4小时以双方商定的进、出库指令标准格式向乙方送达准确详尽合理的进、出库指令，甲方每日的指令下达截止时间为下午16点。进、出库指令应注明进、出库的日期，进、出库货物的名称、款号、颜色、规格、数量、包装及收件人的详细姓名、地址及电话等，并由甲方授权人员通过邮件确认；如甲乙双方已系统对接，则以系统数据为准。进、出库具体流程由双方于本合同签署后另行协商确定。</w:t>
      </w:r>
    </w:p>
    <w:p>
      <w:pPr>
        <w:tabs>
          <w:tab w:val="left" w:pos="6120"/>
        </w:tabs>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货物入库时，乙方对于甲方到库的货物应当按照入库指令进行验收。验收的项目包括货物的品名、款号、颜色、规格、包装、数量、外包装情况及无需开箱或拆捆直观可辨的质量情况。包装内的货物品名、款式、颜色、规格、数量以货物外包装的标记为准。当甲方产品为批量或整箱入库时，乙方进行抽检入库，抽检不能破坏销售产品包装，影响产品销售，抽检比例为10%，若甲方要求抽检数量超出该比例或者有其他抽检需求，则按0.5元/提收费。乙方根据验收情况打印收货交接单，货物实际入库情况，以收货交接单为准。乙方每日将前日入库明细邮件告知甲方指定负责人；如甲乙双方已系统对接，则以系统数据为准。</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乙方操作产品入库发现甲方（或其委托的第三方）交付产品有质量问题，不满足入库条件时，甲方选择如下</w:t>
      </w:r>
      <w:r>
        <w:rPr>
          <w:rFonts w:hint="eastAsia" w:ascii="方正仿宋_GBK" w:hAnsi="方正仿宋_GBK" w:eastAsia="方正仿宋_GBK" w:cs="方正仿宋_GBK"/>
          <w:sz w:val="28"/>
          <w:szCs w:val="28"/>
          <w:u w:val="single"/>
        </w:rPr>
        <w:t xml:space="preserve">  2  </w:t>
      </w:r>
      <w:r>
        <w:rPr>
          <w:rFonts w:hint="eastAsia" w:ascii="方正仿宋_GBK" w:hAnsi="方正仿宋_GBK" w:eastAsia="方正仿宋_GBK" w:cs="方正仿宋_GBK"/>
          <w:sz w:val="28"/>
          <w:szCs w:val="28"/>
        </w:rPr>
        <w:t>种入库验收异常处理模式：</w:t>
      </w:r>
    </w:p>
    <w:p>
      <w:pPr>
        <w:spacing w:line="560" w:lineRule="atLeast"/>
        <w:ind w:left="735" w:leftChars="3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1、乙方对该部分货物直接拒收，按照实收数量进行入库和打印交接单，拒收瑕疵品的后续处理事宜由甲方（或其委托的第三方）自行负责；</w:t>
      </w:r>
    </w:p>
    <w:p>
      <w:pPr>
        <w:spacing w:line="560" w:lineRule="atLeast"/>
        <w:ind w:left="735" w:leftChars="3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按照实收数量进行入库和打印交接单，对拒收瑕疵品做暂存处理，并将收货异常情况邮件告知甲方，由甲方（或其委托的第三方）在五个工作日内处理；瑕疵品不属于乙方长期保存范围，若甲方（或其委托的第三方）不能在五个工作日内处理完毕，乙方将视甲方已放弃该部分瑕疵品的处理权，由乙方报废处理。</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货物出库或配送交付时，由乙方会同甲方或甲方指定的收货人根据出库指令进行出库交接，在出库交接单上签字确认，办理交接手续。快递或物流配送的包裹，交接的项目包括包裹的数量、重量、体积、配送单号、外包装情况及及无需开箱或拆捆直观可辨的质量情况；自提交接的项目包括货物的品名、款号、颜色、规格、数量、重量、外包装情况及无需开箱或拆捆直观可辨的质量情况。包装内的货物品名、款号、颜色、规格、数量以货物外包装或货物上的标记为准。快递或物流配送的包裹在顾客收货或代收点代收时，发现包裹内的货物与发货指令不符的，乙方通过监控进行责任划分；快递或物流配送的包裹在顾客收货或代收点代收后，乙方不再承担任何责任，但乙方不免除因乙方造成的损失的责任。自提交接时如发现交接单上的货物与内部实际货物不符的，乙方应按正确指令更换货物；自提交接后，如发现交接单上的货物与内部实际货物不符的，责任由甲方提货人承担。</w:t>
      </w:r>
    </w:p>
    <w:p>
      <w:pPr>
        <w:numPr>
          <w:ilvl w:val="0"/>
          <w:numId w:val="4"/>
        </w:num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乙方在正常工作时间（9:00-18:00）提供出库服务，并保证在收到指令的24小时</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内出库完成，法定节假日以及双十一双十二除外，法定节假日订单（除春节外）在收到指令的48小时内完成出库。</w:t>
      </w:r>
    </w:p>
    <w:p>
      <w:pPr>
        <w:numPr>
          <w:ilvl w:val="0"/>
          <w:numId w:val="4"/>
        </w:num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乙方在正常工作时间（9:00-18:00）提供入库服务，并保证在货物到达的24小时</w:t>
      </w:r>
    </w:p>
    <w:p>
      <w:pPr>
        <w:spacing w:line="560" w:lineRule="atLeast"/>
        <w:ind w:left="738" w:leftChars="285" w:hanging="140" w:hangingChars="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内入库完成，法定节假日除外。在乙方正常工作时间外到达的送货车辆，乙方有权第二天做入库作业。如有特殊情况需要乙方加班入库的，甲方需要提前向乙方说明，并协商具体操作方式。</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（六）甲方货物入库的卸货搬运过程由甲方（或其委托的第三方）完成，甲方若需由乙方完成该卸货搬运过程，需提前与乙方沟通协商。</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五、货物包装</w:t>
      </w:r>
    </w:p>
    <w:p>
      <w:pPr>
        <w:spacing w:line="560" w:lineRule="atLeast"/>
        <w:outlineLvl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（一）甲方应保证入库货物包装符合一般仓储保管和运输要求。</w:t>
      </w:r>
    </w:p>
    <w:p>
      <w:pPr>
        <w:spacing w:line="560" w:lineRule="atLeast"/>
        <w:ind w:left="840" w:hanging="840" w:hangingChars="300"/>
        <w:outlineLvl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（二）乙方对入库后不符合包装要求的货物，与甲方沟通确认后，可以进行符合一般仓储保管和运输要求的包装。包装费用由甲方承担。</w:t>
      </w:r>
    </w:p>
    <w:p>
      <w:pPr>
        <w:spacing w:line="560" w:lineRule="atLeast"/>
        <w:outlineLvl w:val="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bCs/>
          <w:sz w:val="28"/>
          <w:szCs w:val="28"/>
        </w:rPr>
        <w:t>六、货物保管</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（一）乙方应保持仓库清洁卫生、通风和干燥，保证货品码放整齐，符合甲方货物的要求，并做好防火、防盗、防潮、防霉、防鼠、防损和防污等工作。</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（二）乙方应有效执行安全保卫规范，确保货物的安全。</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抽检入库的产品，乙方在库保管和作业的过程中发现有颜色、尺码、款式、不满箱规等异常情况，不属于乙方责任，乙方每周（或每月）将以上异常情况汇总告知甲方，甲方需在收悉后一周内回复处理方案并处理完毕。</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乙方对在库内保管和运作的过程中若出现货差货损及火灾等灾害导致的相应损失，乙方需要及时告知甲方相关情况，同时提供现场图片或者实物，赔偿金额按照商品成本价计算，并根据甲方需求以冲抵服务费的方式进行赔偿，若服务费不足冲抵该部分货物价值，乙方当以货币进行赔偿。</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（五）保质期商品入库限制为保质期的</w:t>
      </w:r>
      <w:r>
        <w:rPr>
          <w:rFonts w:hint="eastAsia" w:ascii="方正仿宋_GBK" w:hAnsi="方正仿宋_GBK" w:eastAsia="方正仿宋_GBK" w:cs="方正仿宋_GBK"/>
          <w:sz w:val="28"/>
          <w:szCs w:val="28"/>
          <w:u w:val="single"/>
        </w:rPr>
        <w:t xml:space="preserve"> 三分之一 </w:t>
      </w:r>
      <w:r>
        <w:rPr>
          <w:rFonts w:hint="eastAsia" w:ascii="方正仿宋_GBK" w:hAnsi="方正仿宋_GBK" w:eastAsia="方正仿宋_GBK" w:cs="方正仿宋_GBK"/>
          <w:sz w:val="28"/>
          <w:szCs w:val="28"/>
        </w:rPr>
        <w:t>内，超过保质期的</w:t>
      </w:r>
      <w:r>
        <w:rPr>
          <w:rFonts w:hint="eastAsia" w:ascii="方正仿宋_GBK" w:hAnsi="方正仿宋_GBK" w:eastAsia="方正仿宋_GBK" w:cs="方正仿宋_GBK"/>
          <w:sz w:val="28"/>
          <w:szCs w:val="28"/>
          <w:u w:val="single"/>
        </w:rPr>
        <w:t xml:space="preserve"> 三分之一 </w:t>
      </w:r>
      <w:r>
        <w:rPr>
          <w:rFonts w:hint="eastAsia" w:ascii="方正仿宋_GBK" w:hAnsi="方正仿宋_GBK" w:eastAsia="方正仿宋_GBK" w:cs="方正仿宋_GBK"/>
          <w:sz w:val="28"/>
          <w:szCs w:val="28"/>
        </w:rPr>
        <w:t>时乙方需要邮件询问甲方后根据甲方意见进行处理；临期定义为：2个月内保质期的货品，保质期超过</w:t>
      </w:r>
      <w:r>
        <w:rPr>
          <w:rFonts w:hint="eastAsia" w:ascii="方正仿宋_GBK" w:hAnsi="方正仿宋_GBK" w:eastAsia="方正仿宋_GBK" w:cs="方正仿宋_GBK"/>
          <w:sz w:val="28"/>
          <w:szCs w:val="28"/>
          <w:u w:val="single"/>
        </w:rPr>
        <w:t>二分之一</w:t>
      </w:r>
      <w:r>
        <w:rPr>
          <w:rFonts w:hint="eastAsia" w:ascii="方正仿宋_GBK" w:hAnsi="方正仿宋_GBK" w:eastAsia="方正仿宋_GBK" w:cs="方正仿宋_GBK"/>
          <w:sz w:val="28"/>
          <w:szCs w:val="28"/>
        </w:rPr>
        <w:t>为临期（若二分之一效期带有小数位，则小数位四舍五入）、超过2个月（含2个月）保质期的货品，保质期超过</w:t>
      </w:r>
      <w:r>
        <w:rPr>
          <w:rFonts w:hint="eastAsia" w:ascii="方正仿宋_GBK" w:hAnsi="方正仿宋_GBK" w:eastAsia="方正仿宋_GBK" w:cs="方正仿宋_GBK"/>
          <w:sz w:val="28"/>
          <w:szCs w:val="28"/>
          <w:u w:val="single"/>
        </w:rPr>
        <w:t>三分之二</w:t>
      </w:r>
      <w:r>
        <w:rPr>
          <w:rFonts w:hint="eastAsia" w:ascii="方正仿宋_GBK" w:hAnsi="方正仿宋_GBK" w:eastAsia="方正仿宋_GBK" w:cs="方正仿宋_GBK"/>
          <w:sz w:val="28"/>
          <w:szCs w:val="28"/>
        </w:rPr>
        <w:t>为临期（若三分之二效期带有小数位，则小数位四舍五入）。乙方每月将临期商品明细邮件告知甲方指定人员，并对临期商品做限制订单出库操作，甲方在一周内回复处理方案，并处理完毕，若甲方不能在商品过期后的一个月内处理完毕，乙方将视甲方已放弃该部分过期商品的处理权，由乙方报废处理。</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（六）乙方的食品仓库应符合食品存放要求，并做到离地、离墙，防潮、防火，库房不得有漏雨、阳光直射产品的现象。</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（七）乙方食品仓库内部不得同储不符合食品卫生条件的其它物品。</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（八）严禁有坐、踏、摔、压产品现象，产品表面不得有尘土，脚印，不得有写字、涂画等现象。</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（九）库房产品要堆放整齐、批次清楚，码放高度利乐枕系列产品不得超过 8层，利乐钻包装系列产品不得超过10层，康美包系列产品不得超过 10 层。</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（十）在仓储时发现产品有漏包、胀包等现象，应及时将该批产品进行隔离。</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一）换箱时的操作要求：污染后的产品要求用清水冲洗后，用干净的抹布擦掉污渍，必须保证产品无变形、破损，表面无污渍、无异味；不同日期、不同工厂、不同品种的产品不得装入同一纸箱中进行整件销售。</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（十二）在高温天气下，</w:t>
      </w:r>
      <w:r>
        <w:rPr>
          <w:rFonts w:hint="eastAsia" w:ascii="方正仿宋_GBK" w:hAnsi="方正仿宋_GBK" w:eastAsia="方正仿宋_GBK" w:cs="方正仿宋_GBK"/>
          <w:sz w:val="28"/>
          <w:szCs w:val="28"/>
          <w:lang w:val="en-US" w:eastAsia="zh-CN"/>
        </w:rPr>
        <w:t>仓库</w:t>
      </w:r>
      <w:r>
        <w:rPr>
          <w:rFonts w:hint="eastAsia" w:ascii="方正仿宋_GBK" w:hAnsi="方正仿宋_GBK" w:eastAsia="方正仿宋_GBK" w:cs="方正仿宋_GBK"/>
          <w:sz w:val="28"/>
          <w:szCs w:val="28"/>
        </w:rPr>
        <w:t>会通过开启抽风设备或使用大型电风扇进行降温，当仓库库容不足时，食品仓库容优先满足甲方。</w:t>
      </w:r>
    </w:p>
    <w:p>
      <w:pPr>
        <w:spacing w:line="560" w:lineRule="atLeast"/>
        <w:ind w:left="1120" w:hanging="1120" w:hangingChars="4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（十三）甲方关于商品保管的其他特殊需求，可与乙方另行协商，在合同附件1中列出，附件1与本合同具有同等法律效力。</w:t>
      </w:r>
    </w:p>
    <w:p>
      <w:pPr>
        <w:spacing w:line="560" w:lineRule="atLeast"/>
        <w:ind w:left="840" w:hanging="840" w:hangingChars="3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十四）甲方可于每月一次（不定期但须至少提前三天提出，并避开订单高峰）委派甲方相关人员持甲方有效授权证明及身份证件到乙方仓库对甲方货物进行盘点，确认盘点数字后由甲乙双方相关负责人签字确认，如双方确定有货品数量损失，乙方需24小时内完成库内查找，并反馈到甲方。双方最终确认的货差货损，乙方需按照本条第（四）款规定进行赔偿，如有临时检查等需要提前告知到乙方。</w:t>
      </w:r>
      <w:r>
        <w:rPr>
          <w:rFonts w:hint="eastAsia" w:ascii="方正仿宋_GBK" w:hAnsi="方正仿宋_GBK" w:eastAsia="方正仿宋_GBK" w:cs="方正仿宋_GBK"/>
          <w:sz w:val="28"/>
          <w:szCs w:val="28"/>
          <w:lang w:val="en-US" w:eastAsia="zh-CN"/>
        </w:rPr>
        <w:t>每月帐单仓储面积以乙方系统使用面积为准；在合同执行过程中，如约定的费用发生变化，需提前5个工作日以包含但不限于电子邮件、QQ、实物寄送（以本人签收时间为准）通知到甲方，费用变化需以双方确认为准，如无法达成一致，双方均有权利解除合同。</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七、信息通报</w:t>
      </w:r>
    </w:p>
    <w:p>
      <w:pPr>
        <w:spacing w:line="560" w:lineRule="atLeast"/>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乙方同意甲方授权的人员对入库货物的状态进行跟踪，并及时处理甲方的投诉。</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八、保密</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（一）本合同双方对合同的内容及在签订和履行过程中获悉对方的所有商业、技术信息</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承担保密义务；乙方仅在仓配服务过程中操作和使用数据；未经对方事先书面同意，任何一方不得公开或透露上述信息给任何第三方。</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（二）任何一方未履行本协议约定的保密义务，因此给对方造成损失的，应负责赔偿给对方造成的损失。</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（三）在本合同有效期内及终止后 1年内，本保密条款依然有效。</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九、费用及结算</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（一）乙方按照本协议附件1规定的收费标准收取各项费用。</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二）甲方以月为单位向乙方支付仓配服务费。甲乙双方由每月十号进行上月费用清单核对。甲方确认无误后以邮件或书面形式确认，乙方开具相应的增值税专用发票，如国家税收政策发生变化，合同涉及的价款及增值税等相关税费金额，按照“合同中不含增值税税额的价格不变”原则确定。甲方收到乙方发票后10个工作日内以汇款形式向乙方结清上月各项费用（如遇节假日进行顺延） </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如甲方对结费清单有异议，应在收到清单后5个工作日内以邮件或书面形式向乙方提出，否则视为无异议。甲方提出异议后，甲乙双方需在5个工作日内重新进行清单的核对。但甲方不得以该种理由作为延期或拒绝付款的手段。对不能解决有争议部分，暂不结算该部分但无争议部分应正常结算，而争议部分需在一个月内确认，并在次月款项中进行多退少补。</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四</w:t>
      </w:r>
      <w:r>
        <w:rPr>
          <w:rFonts w:hint="eastAsia" w:ascii="方正仿宋_GBK" w:hAnsi="方正仿宋_GBK" w:eastAsia="方正仿宋_GBK" w:cs="方正仿宋_GBK"/>
          <w:sz w:val="28"/>
          <w:szCs w:val="28"/>
        </w:rPr>
        <w:t>）甲方对存放于乙方仓库中的所有货物具有所有权，，乙方无权非法或违反本合同自行处置。</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十、违约及其他责任</w:t>
      </w:r>
    </w:p>
    <w:p>
      <w:pPr>
        <w:tabs>
          <w:tab w:val="left" w:pos="540"/>
        </w:tabs>
        <w:spacing w:line="560" w:lineRule="atLeast"/>
        <w:rPr>
          <w:rFonts w:hint="eastAsia" w:ascii="方正仿宋_GBK" w:hAnsi="方正仿宋_GBK" w:eastAsia="方正仿宋_GBK" w:cs="方正仿宋_GBK"/>
          <w:b/>
          <w:sz w:val="28"/>
          <w:szCs w:val="28"/>
          <w:shd w:val="pct10" w:color="auto" w:fill="FFFFFF"/>
        </w:rPr>
      </w:pPr>
      <w:r>
        <w:rPr>
          <w:rFonts w:hint="eastAsia" w:ascii="方正仿宋_GBK" w:hAnsi="方正仿宋_GBK" w:eastAsia="方正仿宋_GBK" w:cs="方正仿宋_GBK"/>
          <w:b/>
          <w:sz w:val="28"/>
          <w:szCs w:val="28"/>
        </w:rPr>
        <w:t>（一）甲方责任</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１、甲方未按约定提供出、入库指令或提供的出、入库指令不全、不及时所造成的损失</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应由甲方承担。</w:t>
      </w:r>
    </w:p>
    <w:p>
      <w:pPr>
        <w:spacing w:line="560" w:lineRule="atLeast"/>
        <w:ind w:firstLine="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甲方对接人员要努力完善货品出、入库指令下达的管理规范，要做到及时、准确、</w:t>
      </w:r>
    </w:p>
    <w:p>
      <w:pPr>
        <w:spacing w:line="560" w:lineRule="atLeast"/>
        <w:ind w:firstLine="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规范，如一个月累计发生三次出、入库指令下达错误、信息不全或不规范的情况，</w:t>
      </w:r>
    </w:p>
    <w:p>
      <w:pPr>
        <w:spacing w:line="560" w:lineRule="atLeast"/>
        <w:ind w:firstLine="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乙方有权给予书面警告并限期整改。</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２、甲方在普通货物中夹藏、匿报易燃、易爆、易渗漏、有毒等危险品或其它违反危险</w:t>
      </w:r>
    </w:p>
    <w:p>
      <w:pPr>
        <w:spacing w:line="560" w:lineRule="atLeast"/>
        <w:ind w:firstLine="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品存储规定的行为，甲方应自行承担损失，若因此造成乙方财产损失或人员伤亡，</w:t>
      </w:r>
    </w:p>
    <w:p>
      <w:pPr>
        <w:spacing w:line="560" w:lineRule="atLeast"/>
        <w:ind w:left="479" w:leftChars="22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或造成乙方对任何第三方负有责任的，甲方应按照实际损失赔偿并承担相关法律责任。</w:t>
      </w:r>
    </w:p>
    <w:p>
      <w:pPr>
        <w:spacing w:line="560" w:lineRule="atLeast"/>
        <w:ind w:left="420" w:hanging="420" w:hanging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3、在原装、原封、原标记完好无异状的情况下，非由乙方原因造成的货物短缺、损坏或货物铭牌标明的品名、款式、颜色、规格、数量、花色与实际不符所造成的损失，均由甲方承担。</w:t>
      </w:r>
    </w:p>
    <w:p>
      <w:pPr>
        <w:spacing w:line="560" w:lineRule="atLeast"/>
        <w:ind w:left="359" w:leftChars="171"/>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鞋服类货物：甲方如有自营店铺，需努力完善店中货品管理规范，对于鞋类商品要做到原鞋配原盒，对于服装类商品要有外塑料包装袋封装，所有商品的相关附加标识要保存完好（如商品吊牌等），如自营店铺返库商品中存在上述货品管理问题，甲方需根据乙方建议进行整改，将差错率控制在0.1%以内。</w:t>
      </w:r>
    </w:p>
    <w:p>
      <w:pPr>
        <w:spacing w:line="560" w:lineRule="atLeast"/>
        <w:ind w:left="420" w:hanging="420" w:hanging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货物出库期或合同期已到，由于甲方原因货物不能如期撤出仓库的，甲方应承担滞仓的各项费用。若给乙方造成对其他任何第三方履约责任的，甲方需承担该责任，但乙方需提供正式的证明文件，不得有欺诈行为。</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（二）乙方责任与免责</w:t>
      </w:r>
    </w:p>
    <w:p>
      <w:pPr>
        <w:spacing w:line="560" w:lineRule="atLeast"/>
        <w:ind w:left="560" w:hanging="560" w:hanging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由于乙方的过失或疏忽造成甲方货物灭失、短少、污染、损坏，无法正常销售的情况，乙方需按照本合同第六条第（四）款规定进行赔偿；由于乙方的过失或疏忽造成甲方托盘短少、灭失、损坏的情况，乙方需按照本合同第六条第（四）款规定进行赔偿</w:t>
      </w:r>
    </w:p>
    <w:p>
      <w:pPr>
        <w:spacing w:line="560" w:lineRule="atLeast"/>
        <w:ind w:left="420" w:hanging="420" w:hanging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2、乙方由于自身原因未按甲方指令所列的正确的货号、颜色、规格、数量等配送至正确的地点，乙方应尽快完成调换，并承担因调换正确货物到正确地址所发生的操作费和运输费。</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3、乙方要努力完善内部的货品出入库管理规范，月累计出入库及配送操作失误需控制</w:t>
      </w:r>
    </w:p>
    <w:p>
      <w:pPr>
        <w:spacing w:line="560" w:lineRule="atLeast"/>
        <w:ind w:left="315" w:left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  ％以内，否则甲方有权给予乙方书面警告并限期整改，若乙方操作失误超出  ％并因此造成甲方商品损失，乙方需按照商品</w:t>
      </w:r>
      <w:r>
        <w:rPr>
          <w:rFonts w:hint="eastAsia" w:ascii="方正仿宋_GBK" w:hAnsi="方正仿宋_GBK" w:eastAsia="方正仿宋_GBK" w:cs="方正仿宋_GBK"/>
          <w:sz w:val="28"/>
          <w:szCs w:val="28"/>
          <w:lang w:val="en-US" w:eastAsia="zh-CN"/>
        </w:rPr>
        <w:t>损失值</w:t>
      </w:r>
      <w:r>
        <w:rPr>
          <w:rFonts w:hint="eastAsia" w:ascii="方正仿宋_GBK" w:hAnsi="方正仿宋_GBK" w:eastAsia="方正仿宋_GBK" w:cs="方正仿宋_GBK"/>
          <w:sz w:val="28"/>
          <w:szCs w:val="28"/>
        </w:rPr>
        <w:t xml:space="preserve">进行赔付。 </w:t>
      </w:r>
    </w:p>
    <w:p>
      <w:pPr>
        <w:spacing w:line="560" w:lineRule="atLeast"/>
        <w:ind w:left="280" w:hanging="280" w:hangingChars="100"/>
        <w:rPr>
          <w:rFonts w:hint="eastAsia" w:ascii="方正仿宋_GBK" w:hAnsi="方正仿宋_GBK" w:eastAsia="方正仿宋_GBK" w:cs="方正仿宋_GBK"/>
          <w:sz w:val="28"/>
          <w:szCs w:val="28"/>
        </w:rPr>
      </w:pPr>
      <w:bookmarkStart w:id="19" w:name="_Hlk11336926"/>
      <w:r>
        <w:rPr>
          <w:rFonts w:hint="eastAsia" w:ascii="方正仿宋_GBK" w:hAnsi="方正仿宋_GBK" w:eastAsia="方正仿宋_GBK" w:cs="方正仿宋_GBK"/>
          <w:sz w:val="28"/>
          <w:szCs w:val="28"/>
        </w:rPr>
        <w:t>4、乙方要对库内产品进行严格的效期管理，若出现库内临期和过期产品发出给甲方客户且甲方客户收到此货品，甲方将对乙方进行处罚，处罚规则如下：</w:t>
      </w:r>
    </w:p>
    <w:p>
      <w:pPr>
        <w:spacing w:line="560" w:lineRule="atLeast"/>
        <w:ind w:left="280" w:hanging="280" w:hanging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将库内已过期产品发出且收件人已签收的情况时，将处罚100元/单的罚款。当收件人要求甲方作额外赔偿时，经甲、乙双方确定收件人要求合法的情况下，收件人要求甲方作额外赔偿的金额由乙方承担，甲方有义务协助乙方降低收件人的索赔金额。</w:t>
      </w:r>
    </w:p>
    <w:p>
      <w:pPr>
        <w:spacing w:line="560" w:lineRule="atLeast"/>
        <w:ind w:left="280" w:hanging="280" w:hanging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（2）将库内已临期产品发出且收件人已签收的情况时，乙方需及时为收件人进行补发正常商品，由补发产生的快递运输费、商品费用由乙方承担。</w:t>
      </w:r>
    </w:p>
    <w:p>
      <w:pPr>
        <w:spacing w:line="560" w:lineRule="atLeast"/>
        <w:ind w:left="280" w:hanging="280" w:hanging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（3）乙方在发出临期或过期产品后及时撤回订单重新发货，乙方不承担罚款，但不免除因此造成的其他相关责任（其他相关责任包含：平台罚款、耗材成本、KPI考核、出库操作费、物流或快递运费）。</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（4）乙方发出的临期或过期产品是已提前邮件和甲方确认，则乙方不承担责任。</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（5）乙方发出的临期或过期产品是由于工厂送货时不同生产日期混装造成的（为工厂送货时生产日期混装的情况需要仓库举证），则乙方不承担责任。</w:t>
      </w:r>
    </w:p>
    <w:p>
      <w:pPr>
        <w:spacing w:line="52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订单出货时效性，双方约定乙方收到甲方当天16点之前的出库订单，应当天发出订单包裹，若有特殊情况未发出订单包裹，应在次日内发出，“双十一”“双十二”订单在3天内发出。若乙方出货时效性超过约定时效10次/年以上或单次出库超过约定出货时限7天，如有双方认可的特殊情况未发出订单包裹除外，甲方有权提前解除合同并要求乙方免除当月或上月（若上月仓配服务费未支付）仓配服务费作为违约金。甲方如有缺货产品补货入仓、新品上架、促销活动导致单量上涨幅度较大时或缺货订单无法发出（订单量上涨幅度较大定义为：当月日常单量的1.5倍），应提前通知乙方做好准备，若甲方未提前通知乙方导致出现订单包裹积压，则不计算在上述情况内。</w:t>
      </w:r>
    </w:p>
    <w:p>
      <w:pPr>
        <w:spacing w:line="520" w:lineRule="atLeast"/>
        <w:rPr>
          <w:rFonts w:hint="eastAsia" w:eastAsia="方正仿宋_GBK"/>
          <w:lang w:val="en-US" w:eastAsia="zh-CN"/>
        </w:rPr>
      </w:pPr>
      <w:r>
        <w:rPr>
          <w:rFonts w:hint="eastAsia" w:ascii="方正仿宋_GBK" w:hAnsi="方正仿宋_GBK" w:eastAsia="方正仿宋_GBK" w:cs="方正仿宋_GBK"/>
          <w:sz w:val="28"/>
          <w:szCs w:val="28"/>
          <w:lang w:val="en-US" w:eastAsia="zh-CN"/>
        </w:rPr>
        <w:t>6、</w:t>
      </w:r>
      <w:r>
        <w:rPr>
          <w:rFonts w:hint="eastAsia" w:ascii="Times New Roman" w:hAnsi="Times New Roman" w:eastAsia="方正仿宋_GBK"/>
          <w:color w:val="auto"/>
          <w:sz w:val="28"/>
          <w:szCs w:val="28"/>
          <w:lang w:val="en-US" w:eastAsia="zh-CN"/>
        </w:rPr>
        <w:t>因新增业务或业务形态变化产生的费用，由双方协商决定，若双方未协商一致，甲方有权解除合同</w:t>
      </w:r>
      <w:r>
        <w:rPr>
          <w:rFonts w:hint="eastAsia" w:ascii="Times New Roman" w:hAnsi="Times New Roman" w:eastAsia="方正仿宋_GBK"/>
          <w:color w:val="auto"/>
          <w:sz w:val="28"/>
          <w:szCs w:val="28"/>
        </w:rPr>
        <w:t>。</w:t>
      </w:r>
    </w:p>
    <w:p>
      <w:pPr>
        <w:spacing w:line="520" w:lineRule="atLeast"/>
        <w:rPr>
          <w:rFonts w:eastAsia="方正仿宋_GBK"/>
        </w:rPr>
      </w:pP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、乙方作为项目承包单位，对项目承包过程中发生的人身伤害、设备损坏事故承担安全责任，产生的民事赔偿责任由乙方承担，甲方不承担任何赔偿责任。</w:t>
      </w:r>
    </w:p>
    <w:bookmarkEnd w:id="19"/>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十一、送达</w:t>
      </w:r>
    </w:p>
    <w:p>
      <w:pPr>
        <w:spacing w:line="560" w:lineRule="atLeas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甲乙双方的联系方式及联系人如下：</w:t>
      </w:r>
    </w:p>
    <w:p>
      <w:pPr>
        <w:spacing w:line="560" w:lineRule="atLeast"/>
        <w:ind w:firstLine="57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甲方：中垦供应链管理有限公司</w:t>
      </w:r>
    </w:p>
    <w:p>
      <w:pPr>
        <w:spacing w:line="560" w:lineRule="atLeas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通信地址：重庆市渝北区金渝大道85号汉国中心A座17楼</w:t>
      </w:r>
    </w:p>
    <w:p>
      <w:pPr>
        <w:spacing w:line="560" w:lineRule="atLeas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电话：13983820661 </w:t>
      </w:r>
    </w:p>
    <w:p>
      <w:pPr>
        <w:spacing w:line="560" w:lineRule="atLeas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电子邮件：bimingxia@csfscm.com</w:t>
      </w:r>
    </w:p>
    <w:p>
      <w:pPr>
        <w:spacing w:line="560" w:lineRule="atLeas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联系人：毕明遐 </w:t>
      </w:r>
    </w:p>
    <w:p>
      <w:pPr>
        <w:spacing w:line="560" w:lineRule="atLeast"/>
        <w:ind w:firstLine="57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乙方： </w:t>
      </w:r>
    </w:p>
    <w:p>
      <w:pPr>
        <w:spacing w:line="560" w:lineRule="atLeas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通信地址： </w:t>
      </w:r>
    </w:p>
    <w:p>
      <w:pPr>
        <w:spacing w:line="560" w:lineRule="atLeas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p>
      <w:pPr>
        <w:spacing w:line="560" w:lineRule="atLeas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电子邮件：</w:t>
      </w:r>
    </w:p>
    <w:p>
      <w:pPr>
        <w:spacing w:line="560" w:lineRule="atLeas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联系人： </w:t>
      </w:r>
    </w:p>
    <w:p>
      <w:pPr>
        <w:spacing w:line="560" w:lineRule="atLeas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双方确认，任何通知以上述联系方式送达上述联系人或通信地址即为妥当送达。若任何一方联系方式或联系人发生变更，应立即书面告知对方，否则，视为未变更。</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十二、争议解决</w:t>
      </w:r>
    </w:p>
    <w:p>
      <w:pPr>
        <w:spacing w:line="560" w:lineRule="atLeas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因本合同引起的或与本合同有关的任何争议，应当首先通过协商解决。经协商无法达成一致意见的，双方一致同意按照以下第</w:t>
      </w:r>
      <w:r>
        <w:rPr>
          <w:rFonts w:hint="eastAsia" w:ascii="方正仿宋_GBK" w:hAnsi="方正仿宋_GBK" w:eastAsia="方正仿宋_GBK" w:cs="方正仿宋_GBK"/>
          <w:sz w:val="28"/>
          <w:szCs w:val="28"/>
          <w:u w:val="single"/>
        </w:rPr>
        <w:t xml:space="preserve"> （二） </w:t>
      </w:r>
      <w:r>
        <w:rPr>
          <w:rFonts w:hint="eastAsia" w:ascii="方正仿宋_GBK" w:hAnsi="方正仿宋_GBK" w:eastAsia="方正仿宋_GBK" w:cs="方正仿宋_GBK"/>
          <w:sz w:val="28"/>
          <w:szCs w:val="28"/>
        </w:rPr>
        <w:t>种方式解决：</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（一）提交</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仲裁委员会依照其仲裁规则在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进行仲裁。仲裁裁决是终局的，对双方均有约束力。</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（二）提交甲方所在地有管辖权的法院进行审理。</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十三、修改与补充</w:t>
      </w:r>
    </w:p>
    <w:p>
      <w:pPr>
        <w:spacing w:line="560" w:lineRule="atLeast"/>
        <w:ind w:left="840" w:hanging="840" w:hanging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合同在履行过程中，如有一方认为需要修改和补充，需向另一方提出书面的修改建议和理由，双方可以对修改内容达成书面协议，并由双方有权代表签字并加盖本单位公章后生效；如另一方在收到书面建议后30天仍未答复的，视为同意修改或补充的内容，新条款于建议发出30天后自动生效。</w:t>
      </w:r>
    </w:p>
    <w:p>
      <w:pPr>
        <w:spacing w:line="560" w:lineRule="atLeas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（二）在修改或补充未生效之前，仍应执行本合同规定的条款。</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十四、生效和终止</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（一）本合同自双方授权代表签字，并加盖公章之日起生效。</w:t>
      </w:r>
    </w:p>
    <w:p>
      <w:pPr>
        <w:spacing w:line="560" w:lineRule="atLeast"/>
        <w:ind w:left="840" w:hanging="840" w:hanging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（二）任何一方严重违约，另一方可立即以书面形式要求解除本合同，并要求违约方承担违约责任并赔偿违约行为造成的损失。</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（三）本合同终止后，协议双方仍需履行已开始履行而尚未履行完毕的责任与义务。</w:t>
      </w:r>
    </w:p>
    <w:p>
      <w:pPr>
        <w:spacing w:line="560" w:lineRule="atLeast"/>
        <w:ind w:left="843" w:hanging="843" w:hangingChars="300"/>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十五、反商业贿赂条款</w:t>
      </w:r>
    </w:p>
    <w:p>
      <w:pPr>
        <w:spacing w:line="560" w:lineRule="atLeast"/>
        <w:ind w:left="840" w:hanging="840" w:hanging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（一）甲乙双方都知悉并愿意严格遵守中华人民共和国反商业贿赂的法律规定，双方都</w:t>
      </w:r>
    </w:p>
    <w:p>
      <w:pPr>
        <w:spacing w:line="560" w:lineRule="atLeast"/>
        <w:ind w:left="630" w:left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知悉任何形式的贿赂和贪渎行为都将触犯法律，并将受到法律的严惩。</w:t>
      </w:r>
    </w:p>
    <w:p>
      <w:pPr>
        <w:spacing w:line="560" w:lineRule="atLeast"/>
        <w:ind w:left="840" w:hanging="840" w:hanging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（二）甲方或乙方均不得向对方或对方经办人或其他相关人员索要、收受、提供、给予</w:t>
      </w:r>
    </w:p>
    <w:p>
      <w:pPr>
        <w:spacing w:line="560" w:lineRule="atLeast"/>
        <w:ind w:left="630" w:left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合同约定的任何利益，包括但不限于明扣、暗扣、现金、购物卡、实物、有价证券、旅游或其他非物质性利益等，但如该等利益属于行业惯例或通常做法，则须在合同中明示。</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十六、适用法律</w:t>
      </w:r>
    </w:p>
    <w:p>
      <w:pPr>
        <w:spacing w:line="560" w:lineRule="atLeast"/>
        <w:ind w:firstLine="700" w:firstLineChars="2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本合同适用中华人民共和国法律。</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十七、关于不可抗力</w:t>
      </w:r>
    </w:p>
    <w:p>
      <w:pPr>
        <w:spacing w:line="560" w:lineRule="atLeast"/>
        <w:ind w:left="840" w:hanging="840" w:hangingChars="300"/>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一）由于洪水、地震、火山等自然灾害及战争等不可抗力原因导致甲、乙任何一方无法履行合同条款时，不视为违约，但遭遇不可抗力方有义务在第一时间通知另一方，尽量采取措施减少损失，并在不可抗力事件结束后10天内，向另一方提供相关部门出具的不可抗力事件的书面证明文件。如一方未履行相应的义务，导致损失扩大的，应承担相应赔偿责任。</w:t>
      </w:r>
    </w:p>
    <w:p>
      <w:pPr>
        <w:spacing w:line="560" w:lineRule="atLeas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（二）由于一方延迟履行合同约定的义务，发生不可抗力的，其赔偿责任不能免除。</w:t>
      </w:r>
    </w:p>
    <w:p>
      <w:pPr>
        <w:spacing w:line="560" w:lineRule="atLeast"/>
        <w:outlineLvl w:val="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十八、其它</w:t>
      </w:r>
    </w:p>
    <w:p>
      <w:pPr>
        <w:spacing w:line="560" w:lineRule="atLeast"/>
        <w:ind w:left="840" w:hanging="840" w:hanging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（一）甲乙双方履行本合同的人员做出的履行行为即为甲乙双方各自的履行行为。</w:t>
      </w:r>
    </w:p>
    <w:p>
      <w:pPr>
        <w:spacing w:line="560" w:lineRule="atLeast"/>
        <w:ind w:left="840" w:hanging="840" w:hanging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（二）本合同附件1-3为本合同不可分割的组成部分，与本合同具有同等法律效力。</w:t>
      </w:r>
    </w:p>
    <w:p>
      <w:pPr>
        <w:spacing w:line="560" w:lineRule="atLeast"/>
        <w:ind w:left="840" w:hanging="840" w:hanging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（三）乙方向甲方提供仓配服务的收费标准在附件1中具体体现、快递收费标准在附件2中具体体现，</w:t>
      </w:r>
      <w:r>
        <w:rPr>
          <w:rFonts w:hint="eastAsia" w:eastAsia="仿宋_GB2312"/>
          <w:sz w:val="24"/>
        </w:rPr>
        <w:t>关键指标考核标准在附件3中具体体现，</w:t>
      </w:r>
      <w:r>
        <w:rPr>
          <w:rFonts w:hint="eastAsia" w:ascii="方正仿宋_GBK" w:hAnsi="方正仿宋_GBK" w:eastAsia="方正仿宋_GBK" w:cs="方正仿宋_GBK"/>
          <w:sz w:val="28"/>
          <w:szCs w:val="28"/>
        </w:rPr>
        <w:t>项目和标准以双方协商为准。</w:t>
      </w:r>
    </w:p>
    <w:p>
      <w:pPr>
        <w:spacing w:line="560" w:lineRule="atLeast"/>
        <w:ind w:left="840" w:hanging="840" w:hanging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（四）若甲方有系统ERP对接需求，乙方应在力所能及的范围内协助甲方进行系统ERP对接或通过第三方平台对接（乙方系统已与使用奇门端口的系统进行过对接）。</w:t>
      </w:r>
    </w:p>
    <w:p>
      <w:pPr>
        <w:spacing w:line="560" w:lineRule="atLeas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（五）本合同一式两份，甲乙双方各执一份，具有同等效力。</w:t>
      </w:r>
    </w:p>
    <w:p>
      <w:pPr>
        <w:spacing w:line="560" w:lineRule="atLeast"/>
        <w:ind w:firstLine="57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（以下无正文）</w:t>
      </w:r>
    </w:p>
    <w:p>
      <w:pPr>
        <w:spacing w:line="560" w:lineRule="atLeas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甲    方：中垦供应链管理有限公司    乙    方： </w:t>
      </w:r>
    </w:p>
    <w:p>
      <w:pPr>
        <w:tabs>
          <w:tab w:val="left" w:pos="540"/>
        </w:tabs>
        <w:spacing w:line="560" w:lineRule="atLeast"/>
        <w:ind w:firstLine="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有权代表：                          有权代表： </w:t>
      </w:r>
    </w:p>
    <w:p>
      <w:pPr>
        <w:spacing w:line="560" w:lineRule="atLeast"/>
        <w:ind w:firstLine="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                          日  期：</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年  月  日</w:t>
      </w:r>
    </w:p>
    <w:p>
      <w:pPr>
        <w:spacing w:line="560" w:lineRule="atLeast"/>
        <w:jc w:val="left"/>
        <w:rPr>
          <w:rFonts w:hint="eastAsia" w:eastAsia="仿宋_GB2312"/>
          <w:sz w:val="24"/>
          <w:lang w:eastAsia="zh-CN"/>
        </w:rPr>
      </w:pPr>
      <w:r>
        <w:rPr>
          <w:rFonts w:eastAsia="仿宋_GB2312"/>
          <w:sz w:val="24"/>
        </w:rPr>
        <w:t>合同附件</w:t>
      </w:r>
      <w:r>
        <w:rPr>
          <w:rFonts w:hint="eastAsia" w:eastAsia="仿宋_GB2312"/>
          <w:sz w:val="24"/>
          <w:lang w:val="en-US" w:eastAsia="zh-CN"/>
        </w:rPr>
        <w:t>1</w:t>
      </w:r>
    </w:p>
    <w:p>
      <w:pPr>
        <w:spacing w:line="560" w:lineRule="atLeast"/>
        <w:jc w:val="left"/>
        <w:rPr>
          <w:rFonts w:eastAsia="仿宋_GB2312"/>
          <w:sz w:val="24"/>
        </w:rPr>
      </w:pPr>
      <w:r>
        <w:rPr>
          <w:rFonts w:hint="eastAsia" w:eastAsia="仿宋_GB2312"/>
          <w:sz w:val="24"/>
        </w:rPr>
        <w:t>关键指标考核标准</w:t>
      </w:r>
    </w:p>
    <w:p>
      <w:pPr>
        <w:spacing w:line="520" w:lineRule="atLeast"/>
        <w:ind w:firstLine="480" w:firstLineChars="200"/>
        <w:rPr>
          <w:rFonts w:ascii="仿宋" w:hAnsi="仿宋" w:eastAsia="仿宋"/>
          <w:sz w:val="24"/>
        </w:rPr>
      </w:pPr>
      <w:r>
        <w:rPr>
          <w:rFonts w:hint="eastAsia" w:ascii="仿宋" w:hAnsi="仿宋" w:eastAsia="仿宋"/>
          <w:sz w:val="24"/>
        </w:rPr>
        <w:t>1.为规范乙方的服务标准，为甲方服务需求提供更优质的服务，甲方制定了关键指标考核标准，甲方制定的关键指标考核标准为乙方提供服务需达到的最低标准。</w:t>
      </w:r>
    </w:p>
    <w:p>
      <w:pPr>
        <w:spacing w:line="520" w:lineRule="atLeast"/>
        <w:ind w:firstLine="480" w:firstLineChars="200"/>
        <w:rPr>
          <w:rFonts w:hint="eastAsia" w:ascii="仿宋" w:hAnsi="仿宋" w:eastAsia="仿宋"/>
          <w:sz w:val="24"/>
        </w:rPr>
      </w:pPr>
      <w:r>
        <w:rPr>
          <w:rFonts w:hint="eastAsia" w:ascii="仿宋" w:hAnsi="仿宋" w:eastAsia="仿宋"/>
          <w:sz w:val="24"/>
        </w:rPr>
        <w:t>2.乙方在实际服务过程中，如实际关键指标达成率低于承诺标准的，则乙方需按照以下赔付标准向甲方支付违约金，违约金直接</w:t>
      </w:r>
      <w:r>
        <w:rPr>
          <w:rFonts w:hint="eastAsia" w:eastAsia="仿宋_GB2312"/>
          <w:sz w:val="24"/>
        </w:rPr>
        <w:t>冲抵</w:t>
      </w:r>
      <w:r>
        <w:rPr>
          <w:rFonts w:hint="eastAsia" w:ascii="仿宋" w:hAnsi="仿宋" w:eastAsia="仿宋"/>
          <w:sz w:val="24"/>
        </w:rPr>
        <w:t>乙方的仓配服务费，若仓配服务费无法完全</w:t>
      </w:r>
      <w:r>
        <w:rPr>
          <w:rFonts w:hint="eastAsia" w:eastAsia="仿宋_GB2312"/>
          <w:sz w:val="24"/>
        </w:rPr>
        <w:t>冲抵</w:t>
      </w:r>
      <w:r>
        <w:rPr>
          <w:rFonts w:hint="eastAsia" w:ascii="仿宋" w:hAnsi="仿宋" w:eastAsia="仿宋"/>
          <w:sz w:val="24"/>
        </w:rPr>
        <w:t>违约金，</w:t>
      </w:r>
      <w:r>
        <w:rPr>
          <w:rFonts w:hint="eastAsia" w:eastAsia="仿宋_GB2312"/>
          <w:sz w:val="24"/>
        </w:rPr>
        <w:t>乙方当以货币进行赔偿</w:t>
      </w:r>
      <w:r>
        <w:rPr>
          <w:rFonts w:hint="eastAsia" w:ascii="仿宋" w:hAnsi="仿宋" w:eastAsia="仿宋"/>
          <w:sz w:val="24"/>
        </w:rPr>
        <w:t>。</w:t>
      </w:r>
    </w:p>
    <w:p>
      <w:pPr>
        <w:pStyle w:val="2"/>
        <w:rPr>
          <w:rFonts w:hint="eastAsia"/>
          <w:b/>
          <w:bCs/>
          <w:sz w:val="28"/>
          <w:szCs w:val="28"/>
        </w:rPr>
      </w:pPr>
      <w:r>
        <w:rPr>
          <w:rStyle w:val="8"/>
          <w:rFonts w:hint="eastAsia" w:eastAsia="方正仿宋_GBK"/>
          <w:b/>
          <w:bCs/>
          <w:color w:val="auto"/>
          <w:sz w:val="28"/>
          <w:szCs w:val="28"/>
          <w:lang w:val="en-US" w:eastAsia="zh-CN" w:bidi="ar"/>
        </w:rPr>
        <w:t>服务质量能力</w:t>
      </w:r>
      <w:r>
        <w:rPr>
          <w:rStyle w:val="8"/>
          <w:rFonts w:hint="default"/>
          <w:b/>
          <w:bCs/>
          <w:color w:val="auto"/>
          <w:sz w:val="28"/>
          <w:szCs w:val="28"/>
          <w:lang w:bidi="ar"/>
        </w:rPr>
        <w:t>指标承诺</w:t>
      </w:r>
      <w:r>
        <w:rPr>
          <w:rStyle w:val="8"/>
          <w:rFonts w:hint="eastAsia" w:eastAsia="方正仿宋_GBK"/>
          <w:b/>
          <w:bCs/>
          <w:color w:val="auto"/>
          <w:sz w:val="28"/>
          <w:szCs w:val="28"/>
          <w:lang w:val="en-US" w:eastAsia="zh-CN" w:bidi="ar"/>
        </w:rPr>
        <w:t>表：</w:t>
      </w:r>
    </w:p>
    <w:tbl>
      <w:tblPr>
        <w:tblStyle w:val="5"/>
        <w:tblW w:w="884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948"/>
        <w:gridCol w:w="3828"/>
        <w:gridCol w:w="887"/>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b/>
                <w:bCs/>
                <w:szCs w:val="21"/>
              </w:rPr>
            </w:pPr>
            <w:r>
              <w:rPr>
                <w:rFonts w:hint="eastAsia" w:ascii="仿宋" w:hAnsi="仿宋" w:eastAsia="仿宋"/>
                <w:b/>
                <w:bCs/>
                <w:szCs w:val="21"/>
              </w:rPr>
              <w:t>分类</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b/>
                <w:bCs/>
                <w:szCs w:val="21"/>
              </w:rPr>
            </w:pPr>
            <w:r>
              <w:rPr>
                <w:rFonts w:hint="eastAsia" w:ascii="仿宋" w:hAnsi="仿宋" w:eastAsia="仿宋"/>
                <w:b/>
                <w:bCs/>
                <w:szCs w:val="21"/>
              </w:rPr>
              <w:t>KPI项</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b/>
                <w:bCs/>
                <w:szCs w:val="21"/>
              </w:rPr>
            </w:pPr>
            <w:r>
              <w:rPr>
                <w:rFonts w:hint="eastAsia" w:ascii="仿宋" w:hAnsi="仿宋" w:eastAsia="仿宋"/>
                <w:b/>
                <w:bCs/>
                <w:szCs w:val="21"/>
              </w:rPr>
              <w:t>计算公式</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 w:hAnsi="仿宋" w:eastAsia="仿宋"/>
                <w:b/>
                <w:bCs/>
                <w:szCs w:val="21"/>
                <w:lang w:val="en-US" w:eastAsia="zh-CN"/>
              </w:rPr>
            </w:pPr>
            <w:r>
              <w:rPr>
                <w:rFonts w:hint="eastAsia" w:ascii="仿宋" w:hAnsi="仿宋" w:eastAsia="仿宋"/>
                <w:b/>
                <w:bCs/>
                <w:szCs w:val="21"/>
              </w:rPr>
              <w:t>乙方承诺标准</w:t>
            </w:r>
            <w:r>
              <w:rPr>
                <w:rFonts w:hint="eastAsia" w:ascii="仿宋" w:hAnsi="仿宋" w:eastAsia="仿宋"/>
                <w:b/>
                <w:bCs/>
                <w:szCs w:val="21"/>
                <w:lang w:eastAsia="zh-CN"/>
              </w:rPr>
              <w:t>（</w:t>
            </w:r>
            <w:r>
              <w:rPr>
                <w:rFonts w:hint="eastAsia" w:ascii="仿宋" w:hAnsi="仿宋" w:eastAsia="仿宋"/>
                <w:b/>
                <w:bCs/>
                <w:szCs w:val="21"/>
                <w:u w:val="single"/>
                <w:lang w:val="en-US" w:eastAsia="zh-CN"/>
              </w:rPr>
              <w:t xml:space="preserve">  </w:t>
            </w:r>
            <w:r>
              <w:rPr>
                <w:rFonts w:hint="eastAsia" w:ascii="仿宋" w:hAnsi="仿宋" w:eastAsia="仿宋"/>
                <w:b/>
                <w:bCs/>
                <w:szCs w:val="21"/>
                <w:lang w:val="en-US" w:eastAsia="zh-CN"/>
              </w:rPr>
              <w:t>%）</w:t>
            </w:r>
          </w:p>
        </w:tc>
        <w:tc>
          <w:tcPr>
            <w:tcW w:w="21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b/>
                <w:bCs/>
                <w:szCs w:val="21"/>
              </w:rPr>
            </w:pPr>
            <w:r>
              <w:rPr>
                <w:rFonts w:hint="eastAsia" w:ascii="仿宋" w:hAnsi="仿宋" w:eastAsia="仿宋"/>
                <w:b/>
                <w:bCs/>
                <w:szCs w:val="21"/>
              </w:rPr>
              <w:t>赔付标准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4" w:type="dxa"/>
            <w:vMerge w:val="restart"/>
            <w:tcBorders>
              <w:top w:val="single" w:color="auto" w:sz="4" w:space="0"/>
              <w:left w:val="single" w:color="auto" w:sz="4" w:space="0"/>
              <w:right w:val="single" w:color="auto" w:sz="4" w:space="0"/>
            </w:tcBorders>
            <w:noWrap w:val="0"/>
            <w:vAlign w:val="center"/>
          </w:tcPr>
          <w:p>
            <w:pPr>
              <w:spacing w:line="240" w:lineRule="exact"/>
              <w:rPr>
                <w:rFonts w:hint="eastAsia" w:ascii="仿宋" w:hAnsi="仿宋" w:eastAsia="仿宋"/>
                <w:szCs w:val="21"/>
              </w:rPr>
            </w:pPr>
            <w:r>
              <w:rPr>
                <w:rFonts w:hint="eastAsia" w:ascii="仿宋" w:hAnsi="仿宋" w:eastAsia="仿宋"/>
                <w:szCs w:val="21"/>
              </w:rPr>
              <w:t>时效性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Cs w:val="21"/>
              </w:rPr>
            </w:pPr>
            <w:r>
              <w:rPr>
                <w:rFonts w:hint="eastAsia" w:ascii="仿宋" w:hAnsi="仿宋" w:eastAsia="仿宋"/>
                <w:szCs w:val="21"/>
              </w:rPr>
              <w:t>入库及时率</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入库及时率=当月及时入库上架的货品件数/当月应入库货品总件数*100%。</w:t>
            </w:r>
          </w:p>
          <w:p>
            <w:pPr>
              <w:spacing w:line="240" w:lineRule="exact"/>
              <w:rPr>
                <w:rFonts w:ascii="仿宋" w:hAnsi="仿宋" w:eastAsia="仿宋"/>
                <w:szCs w:val="21"/>
              </w:rPr>
            </w:pPr>
            <w:r>
              <w:rPr>
                <w:rFonts w:hint="eastAsia" w:ascii="仿宋" w:hAnsi="仿宋" w:eastAsia="仿宋"/>
                <w:szCs w:val="21"/>
              </w:rPr>
              <w:t>从货物和入库指令到达仓库开始计时，到上架完成、系统确认24小时内算及时入库。收货量超过与商家约定的日收货量商家与乙方另行约定（每日盒装牛奶最低收货量：2000提、袋装牛奶核算单位按3天计算，3天最低塑封量：400提）。</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ascii="仿宋" w:hAnsi="仿宋" w:eastAsia="仿宋"/>
                <w:szCs w:val="21"/>
                <w:u w:val="single"/>
                <w:lang w:val="en-US" w:eastAsia="zh-CN"/>
              </w:rPr>
            </w:pPr>
            <w:r>
              <w:rPr>
                <w:rFonts w:hint="eastAsia" w:ascii="仿宋" w:hAnsi="仿宋" w:eastAsia="仿宋"/>
                <w:szCs w:val="21"/>
                <w:u w:val="single"/>
                <w:lang w:val="en-US" w:eastAsia="zh-CN"/>
              </w:rPr>
              <w:t xml:space="preserve">   %</w:t>
            </w:r>
          </w:p>
        </w:tc>
        <w:tc>
          <w:tcPr>
            <w:tcW w:w="21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实际指标每低于承诺指标 %，乙方需承担100元违约金，单月1000元封顶。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4" w:type="dxa"/>
            <w:vMerge w:val="continue"/>
            <w:tcBorders>
              <w:left w:val="single" w:color="auto" w:sz="4" w:space="0"/>
              <w:right w:val="single" w:color="auto" w:sz="4" w:space="0"/>
            </w:tcBorders>
            <w:noWrap w:val="0"/>
            <w:vAlign w:val="center"/>
          </w:tcPr>
          <w:p>
            <w:pPr>
              <w:spacing w:line="240" w:lineRule="exact"/>
              <w:rPr>
                <w:rFonts w:ascii="仿宋" w:hAnsi="仿宋" w:eastAsia="仿宋"/>
                <w:szCs w:val="21"/>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Cs w:val="21"/>
              </w:rPr>
            </w:pPr>
            <w:r>
              <w:rPr>
                <w:rFonts w:hint="eastAsia" w:ascii="仿宋" w:hAnsi="仿宋" w:eastAsia="仿宋"/>
                <w:szCs w:val="21"/>
              </w:rPr>
              <w:t>发货揽收及时率</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发货揽收及时率=当月及时发货订单数/当月应发货订单总数*100%。</w:t>
            </w:r>
          </w:p>
          <w:p>
            <w:pPr>
              <w:spacing w:line="240" w:lineRule="exact"/>
              <w:rPr>
                <w:rFonts w:ascii="仿宋" w:hAnsi="仿宋" w:eastAsia="仿宋"/>
                <w:szCs w:val="21"/>
              </w:rPr>
            </w:pPr>
            <w:r>
              <w:rPr>
                <w:rFonts w:hint="eastAsia" w:ascii="仿宋" w:hAnsi="仿宋" w:eastAsia="仿宋"/>
                <w:szCs w:val="21"/>
              </w:rPr>
              <w:t>仓库正常上班时间到当天订单截单时间下达的发货指令，截单时间后，当天24点前完成打包出库为及时；订单截单时间后下达的发货指令，在次日24点前打包出库为及时。大单量发货期间（超过当月日常单量1.5倍）另行约定。</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u w:val="single"/>
                <w:lang w:val="en-US" w:eastAsia="zh-CN"/>
              </w:rPr>
              <w:t xml:space="preserve">   %</w:t>
            </w:r>
          </w:p>
        </w:tc>
        <w:tc>
          <w:tcPr>
            <w:tcW w:w="21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实际指标每低于承诺指标 %，乙方需承担200元违约金，单月2000元封顶。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4" w:type="dxa"/>
            <w:vMerge w:val="continue"/>
            <w:tcBorders>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Cs w:val="21"/>
              </w:rPr>
            </w:pPr>
            <w:r>
              <w:rPr>
                <w:rFonts w:hint="eastAsia" w:ascii="仿宋" w:hAnsi="仿宋" w:eastAsia="仿宋"/>
                <w:szCs w:val="21"/>
              </w:rPr>
              <w:t>售后响应时长</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售后需求下达后首次响应回复时长</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u w:val="single"/>
                <w:lang w:val="en-US" w:eastAsia="zh-CN"/>
              </w:rPr>
              <w:t xml:space="preserve">   %</w:t>
            </w:r>
          </w:p>
        </w:tc>
        <w:tc>
          <w:tcPr>
            <w:tcW w:w="21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Cs w:val="21"/>
              </w:rPr>
            </w:pPr>
            <w:r>
              <w:rPr>
                <w:rFonts w:hint="eastAsia" w:ascii="仿宋" w:hAnsi="仿宋" w:eastAsia="仿宋"/>
                <w:szCs w:val="21"/>
              </w:rPr>
              <w:t>实际指标每低于承诺指标 %，乙方需承担</w:t>
            </w:r>
            <w:r>
              <w:rPr>
                <w:rFonts w:hint="eastAsia" w:ascii="仿宋" w:hAnsi="仿宋" w:eastAsia="仿宋"/>
                <w:szCs w:val="21"/>
                <w:lang w:val="en-US" w:eastAsia="zh-CN"/>
              </w:rPr>
              <w:t>50</w:t>
            </w:r>
            <w:r>
              <w:rPr>
                <w:rFonts w:hint="eastAsia" w:ascii="仿宋" w:hAnsi="仿宋" w:eastAsia="仿宋"/>
                <w:szCs w:val="21"/>
              </w:rPr>
              <w:t>元违约金，单月</w:t>
            </w:r>
            <w:r>
              <w:rPr>
                <w:rFonts w:hint="eastAsia" w:ascii="仿宋" w:hAnsi="仿宋" w:eastAsia="仿宋"/>
                <w:szCs w:val="21"/>
                <w:lang w:val="en-US" w:eastAsia="zh-CN"/>
              </w:rPr>
              <w:t>500</w:t>
            </w:r>
            <w:r>
              <w:rPr>
                <w:rFonts w:hint="eastAsia" w:ascii="仿宋" w:hAnsi="仿宋" w:eastAsia="仿宋"/>
                <w:szCs w:val="21"/>
              </w:rPr>
              <w:t>元封顶。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4" w:type="dxa"/>
            <w:vMerge w:val="restart"/>
            <w:tcBorders>
              <w:top w:val="single" w:color="auto" w:sz="4" w:space="0"/>
              <w:left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服务质量与能力</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Cs w:val="21"/>
              </w:rPr>
            </w:pPr>
            <w:r>
              <w:rPr>
                <w:rFonts w:hint="eastAsia" w:ascii="仿宋" w:hAnsi="仿宋" w:eastAsia="仿宋"/>
                <w:szCs w:val="21"/>
              </w:rPr>
              <w:t>发货错误率</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发货错误率=当月未准确发货的订单数/当月应发订单总数*100%。</w:t>
            </w:r>
          </w:p>
          <w:p>
            <w:pPr>
              <w:spacing w:line="240" w:lineRule="exact"/>
              <w:rPr>
                <w:rFonts w:ascii="仿宋" w:hAnsi="仿宋" w:eastAsia="仿宋"/>
                <w:szCs w:val="21"/>
              </w:rPr>
            </w:pPr>
            <w:r>
              <w:rPr>
                <w:rFonts w:hint="eastAsia" w:ascii="仿宋" w:hAnsi="仿宋" w:eastAsia="仿宋"/>
                <w:szCs w:val="21"/>
              </w:rPr>
              <w:t>未准确发货订单指仓库发货时仓库责任导致的错发、少发、多发货品。</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u w:val="single"/>
                <w:lang w:val="en-US" w:eastAsia="zh-CN"/>
              </w:rPr>
              <w:t xml:space="preserve">   %</w:t>
            </w:r>
          </w:p>
        </w:tc>
        <w:tc>
          <w:tcPr>
            <w:tcW w:w="21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实际指标每高于承诺指标 %，乙方需承担200元违约金，单月5000元封顶。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4" w:type="dxa"/>
            <w:vMerge w:val="continue"/>
            <w:tcBorders>
              <w:left w:val="single" w:color="auto" w:sz="4" w:space="0"/>
              <w:right w:val="single" w:color="auto" w:sz="4" w:space="0"/>
            </w:tcBorders>
            <w:noWrap w:val="0"/>
            <w:vAlign w:val="center"/>
          </w:tcPr>
          <w:p>
            <w:pPr>
              <w:spacing w:line="240" w:lineRule="exact"/>
              <w:rPr>
                <w:rFonts w:ascii="仿宋" w:hAnsi="仿宋" w:eastAsia="仿宋"/>
                <w:szCs w:val="21"/>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Cs w:val="21"/>
              </w:rPr>
            </w:pPr>
            <w:r>
              <w:rPr>
                <w:rFonts w:hint="eastAsia" w:ascii="仿宋" w:hAnsi="仿宋" w:eastAsia="仿宋"/>
                <w:szCs w:val="21"/>
              </w:rPr>
              <w:t>货品破损率</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货品破损率=当月发生的累计破损量/累计操作量*100%。</w:t>
            </w:r>
          </w:p>
          <w:p>
            <w:pPr>
              <w:spacing w:line="240" w:lineRule="exact"/>
              <w:rPr>
                <w:rFonts w:ascii="仿宋" w:hAnsi="仿宋" w:eastAsia="仿宋"/>
                <w:szCs w:val="21"/>
              </w:rPr>
            </w:pPr>
            <w:r>
              <w:rPr>
                <w:rFonts w:hint="eastAsia" w:ascii="仿宋" w:hAnsi="仿宋" w:eastAsia="仿宋"/>
                <w:szCs w:val="21"/>
              </w:rPr>
              <w:t>基于仓内操作及保管过程中发生的破损。（货品破损率考核部分为破损责任是临空承担的部分）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u w:val="single"/>
                <w:lang w:val="en-US" w:eastAsia="zh-CN"/>
              </w:rPr>
              <w:t xml:space="preserve">   %</w:t>
            </w:r>
          </w:p>
        </w:tc>
        <w:tc>
          <w:tcPr>
            <w:tcW w:w="21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实际指标每高于承诺指标 %，乙方需承担100元违约金，单月1000元封顶。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4" w:type="dxa"/>
            <w:vMerge w:val="continue"/>
            <w:tcBorders>
              <w:left w:val="single" w:color="auto" w:sz="4" w:space="0"/>
              <w:right w:val="single" w:color="auto" w:sz="4" w:space="0"/>
            </w:tcBorders>
            <w:noWrap w:val="0"/>
            <w:vAlign w:val="center"/>
          </w:tcPr>
          <w:p>
            <w:pPr>
              <w:spacing w:line="240" w:lineRule="exact"/>
              <w:rPr>
                <w:rFonts w:ascii="仿宋" w:hAnsi="仿宋" w:eastAsia="仿宋"/>
                <w:szCs w:val="21"/>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Cs w:val="21"/>
              </w:rPr>
            </w:pPr>
            <w:r>
              <w:rPr>
                <w:rFonts w:hint="eastAsia" w:ascii="仿宋" w:hAnsi="仿宋" w:eastAsia="仿宋"/>
                <w:szCs w:val="21"/>
              </w:rPr>
              <w:t>库存差异率</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szCs w:val="21"/>
              </w:rPr>
            </w:pPr>
            <w:r>
              <w:rPr>
                <w:rFonts w:hint="eastAsia" w:ascii="仿宋" w:hAnsi="仿宋" w:eastAsia="仿宋"/>
                <w:szCs w:val="21"/>
              </w:rPr>
              <w:t>库存差异率=（当月盘盈件数+当月盘亏件数的绝对值）/（月初库存件数+当月新入库件数）。</w:t>
            </w:r>
          </w:p>
          <w:p>
            <w:pPr>
              <w:spacing w:line="240" w:lineRule="exact"/>
              <w:rPr>
                <w:rFonts w:hint="eastAsia" w:ascii="仿宋" w:hAnsi="仿宋" w:eastAsia="仿宋"/>
                <w:szCs w:val="21"/>
              </w:rPr>
            </w:pPr>
            <w:r>
              <w:rPr>
                <w:rFonts w:hint="eastAsia" w:ascii="仿宋" w:hAnsi="仿宋" w:eastAsia="仿宋"/>
                <w:szCs w:val="21"/>
              </w:rPr>
              <w:t>当月全部盘盈与盘亏之和为盘点差异，月初库存数为当月1号0点库存数。大单量发货期间（超过日常单量1.5倍）另行约定。</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Cs w:val="21"/>
              </w:rPr>
            </w:pPr>
            <w:r>
              <w:rPr>
                <w:rFonts w:hint="eastAsia" w:ascii="仿宋" w:hAnsi="仿宋" w:eastAsia="仿宋"/>
                <w:szCs w:val="21"/>
                <w:u w:val="single"/>
                <w:lang w:val="en-US" w:eastAsia="zh-CN"/>
              </w:rPr>
              <w:t xml:space="preserve">   %</w:t>
            </w:r>
          </w:p>
        </w:tc>
        <w:tc>
          <w:tcPr>
            <w:tcW w:w="21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Cs w:val="21"/>
              </w:rPr>
            </w:pPr>
            <w:r>
              <w:rPr>
                <w:rFonts w:hint="eastAsia" w:ascii="仿宋" w:hAnsi="仿宋" w:eastAsia="仿宋"/>
                <w:szCs w:val="21"/>
              </w:rPr>
              <w:t>实际指标每高于承诺指标 %，乙方需承担200元违约金，单月2000元封顶。</w:t>
            </w:r>
          </w:p>
        </w:tc>
      </w:tr>
    </w:tbl>
    <w:p>
      <w:pPr>
        <w:spacing w:line="560" w:lineRule="atLeast"/>
        <w:ind w:firstLine="480" w:firstLineChars="200"/>
        <w:rPr>
          <w:rFonts w:ascii="仿宋" w:hAnsi="仿宋" w:eastAsia="仿宋"/>
          <w:sz w:val="24"/>
        </w:rPr>
      </w:pPr>
      <w:r>
        <w:rPr>
          <w:rFonts w:hint="eastAsia" w:ascii="仿宋" w:hAnsi="仿宋" w:eastAsia="仿宋"/>
          <w:sz w:val="24"/>
        </w:rPr>
        <w:t>3.此处的关键考核指标仅为甲方对乙方提供服务考核的指标，并不代表达到指标后相应损失（包括但不限于货品丢失、货品破损等）的免责范围。关键考核指标以月度为考核周期。考核数据以甲乙双方对接的系统数据为准。</w:t>
      </w:r>
    </w:p>
    <w:p>
      <w:pPr>
        <w:spacing w:line="560" w:lineRule="atLeast"/>
        <w:rPr>
          <w:rFonts w:ascii="仿宋" w:hAnsi="仿宋" w:eastAsia="仿宋"/>
          <w:sz w:val="24"/>
        </w:rPr>
      </w:pPr>
    </w:p>
    <w:p>
      <w:pPr>
        <w:spacing w:line="560" w:lineRule="atLeast"/>
        <w:rPr>
          <w:rFonts w:eastAsia="仿宋_GB2312"/>
          <w:sz w:val="24"/>
        </w:rPr>
      </w:pPr>
      <w:r>
        <w:rPr>
          <w:rFonts w:eastAsia="仿宋_GB2312"/>
          <w:sz w:val="24"/>
        </w:rPr>
        <w:t>（以下无正文）</w:t>
      </w:r>
    </w:p>
    <w:p>
      <w:pPr>
        <w:spacing w:line="560" w:lineRule="atLeast"/>
        <w:rPr>
          <w:rFonts w:eastAsia="仿宋_GB2312"/>
          <w:sz w:val="24"/>
        </w:rPr>
      </w:pPr>
      <w:r>
        <w:rPr>
          <w:rFonts w:eastAsia="仿宋_GB2312"/>
          <w:sz w:val="24"/>
        </w:rPr>
        <w:t>甲    方：</w:t>
      </w:r>
      <w:r>
        <w:rPr>
          <w:rFonts w:hint="eastAsia" w:eastAsia="仿宋_GB2312"/>
          <w:sz w:val="24"/>
        </w:rPr>
        <w:t xml:space="preserve">中垦供应链管理有限公司 </w:t>
      </w:r>
      <w:r>
        <w:rPr>
          <w:rFonts w:eastAsia="仿宋_GB2312"/>
          <w:sz w:val="24"/>
        </w:rPr>
        <w:t xml:space="preserve">   乙    方：</w:t>
      </w:r>
    </w:p>
    <w:p>
      <w:pPr>
        <w:tabs>
          <w:tab w:val="left" w:pos="540"/>
        </w:tabs>
        <w:spacing w:line="560" w:lineRule="atLeast"/>
        <w:rPr>
          <w:rFonts w:eastAsia="仿宋_GB2312"/>
          <w:sz w:val="24"/>
        </w:rPr>
      </w:pPr>
      <w:r>
        <w:rPr>
          <w:rFonts w:eastAsia="仿宋_GB2312"/>
          <w:sz w:val="24"/>
        </w:rPr>
        <w:t xml:space="preserve">有权代表：                </w:t>
      </w:r>
      <w:r>
        <w:rPr>
          <w:rFonts w:hint="eastAsia" w:eastAsia="仿宋_GB2312"/>
          <w:sz w:val="24"/>
        </w:rPr>
        <w:t xml:space="preserve">        </w:t>
      </w:r>
      <w:r>
        <w:rPr>
          <w:rFonts w:eastAsia="仿宋_GB2312"/>
          <w:sz w:val="24"/>
        </w:rPr>
        <w:t>有权代表：</w:t>
      </w:r>
    </w:p>
    <w:p>
      <w:pPr>
        <w:tabs>
          <w:tab w:val="center" w:pos="4153"/>
          <w:tab w:val="right" w:pos="8306"/>
        </w:tabs>
        <w:spacing w:line="560" w:lineRule="atLeast"/>
        <w:rPr>
          <w:rFonts w:hint="eastAsia" w:ascii="方正仿宋_GBK" w:hAnsi="方正仿宋_GBK" w:eastAsia="方正仿宋_GBK" w:cs="方正仿宋_GBK"/>
          <w:sz w:val="28"/>
          <w:szCs w:val="28"/>
        </w:rPr>
      </w:pPr>
      <w:r>
        <w:rPr>
          <w:rFonts w:eastAsia="仿宋_GB2312"/>
          <w:sz w:val="24"/>
        </w:rPr>
        <w:t xml:space="preserve">日    期：                      </w:t>
      </w:r>
      <w:r>
        <w:rPr>
          <w:rFonts w:hint="eastAsia" w:eastAsia="仿宋_GB2312"/>
          <w:sz w:val="24"/>
        </w:rPr>
        <w:t xml:space="preserve">  </w:t>
      </w:r>
      <w:r>
        <w:rPr>
          <w:rFonts w:eastAsia="仿宋_GB2312"/>
          <w:sz w:val="24"/>
        </w:rPr>
        <w:t>日    期：</w:t>
      </w:r>
      <w:r>
        <w:rPr>
          <w:rFonts w:hint="eastAsia" w:ascii="方正仿宋_GBK" w:hAnsi="方正仿宋_GBK" w:eastAsia="方正仿宋_GBK" w:cs="方正仿宋_GBK"/>
          <w:sz w:val="28"/>
          <w:szCs w:val="28"/>
        </w:rPr>
        <w:t xml:space="preserve"> </w:t>
      </w:r>
    </w:p>
    <w:p>
      <w:pPr>
        <w:pStyle w:val="2"/>
        <w:rPr>
          <w:rFonts w:hint="eastAsia" w:ascii="方正仿宋_GBK" w:hAnsi="方正仿宋_GBK" w:eastAsia="方正仿宋_GBK" w:cs="方正仿宋_GBK"/>
          <w:b/>
          <w:bCs/>
          <w:spacing w:val="1"/>
          <w:sz w:val="28"/>
          <w:szCs w:val="28"/>
          <w:lang w:val="zh-CN"/>
        </w:rPr>
      </w:pPr>
    </w:p>
    <w:p>
      <w:pPr>
        <w:pStyle w:val="2"/>
        <w:rPr>
          <w:rFonts w:hint="eastAsia" w:ascii="方正仿宋_GBK" w:hAnsi="方正仿宋_GBK" w:eastAsia="方正仿宋_GBK" w:cs="方正仿宋_GBK"/>
          <w:b/>
          <w:bCs/>
          <w:spacing w:val="1"/>
          <w:sz w:val="28"/>
          <w:szCs w:val="28"/>
          <w:lang w:val="zh-CN"/>
        </w:rPr>
      </w:pPr>
    </w:p>
    <w:p>
      <w:pPr>
        <w:pStyle w:val="2"/>
        <w:rPr>
          <w:rFonts w:hint="eastAsia" w:ascii="方正仿宋_GBK" w:hAnsi="方正仿宋_GBK" w:eastAsia="方正仿宋_GBK" w:cs="方正仿宋_GBK"/>
          <w:b/>
          <w:bCs/>
          <w:spacing w:val="1"/>
          <w:sz w:val="28"/>
          <w:szCs w:val="28"/>
          <w:lang w:val="zh-CN"/>
        </w:rPr>
      </w:pPr>
    </w:p>
    <w:p>
      <w:pPr>
        <w:pStyle w:val="2"/>
        <w:rPr>
          <w:rFonts w:hint="eastAsia" w:ascii="方正仿宋_GBK" w:hAnsi="方正仿宋_GBK" w:eastAsia="方正仿宋_GBK" w:cs="方正仿宋_GBK"/>
          <w:b/>
          <w:bCs/>
          <w:spacing w:val="1"/>
          <w:sz w:val="28"/>
          <w:szCs w:val="28"/>
          <w:lang w:val="zh-CN"/>
        </w:rPr>
      </w:pPr>
    </w:p>
    <w:p>
      <w:pPr>
        <w:pStyle w:val="2"/>
        <w:rPr>
          <w:rFonts w:hint="eastAsia" w:ascii="方正仿宋_GBK" w:hAnsi="方正仿宋_GBK" w:eastAsia="方正仿宋_GBK" w:cs="方正仿宋_GBK"/>
          <w:b/>
          <w:bCs/>
          <w:spacing w:val="1"/>
          <w:sz w:val="28"/>
          <w:szCs w:val="28"/>
          <w:lang w:val="zh-CN"/>
        </w:rPr>
      </w:pPr>
    </w:p>
    <w:p>
      <w:pPr>
        <w:pStyle w:val="2"/>
        <w:rPr>
          <w:rFonts w:hint="eastAsia" w:ascii="方正仿宋_GBK" w:hAnsi="方正仿宋_GBK" w:eastAsia="方正仿宋_GBK" w:cs="方正仿宋_GBK"/>
          <w:b/>
          <w:bCs/>
          <w:spacing w:val="1"/>
          <w:sz w:val="28"/>
          <w:szCs w:val="28"/>
          <w:lang w:val="zh-CN"/>
        </w:rPr>
      </w:pPr>
    </w:p>
    <w:p>
      <w:pPr>
        <w:pStyle w:val="2"/>
        <w:rPr>
          <w:rFonts w:hint="eastAsia" w:ascii="方正仿宋_GBK" w:hAnsi="方正仿宋_GBK" w:eastAsia="方正仿宋_GBK" w:cs="方正仿宋_GBK"/>
          <w:b/>
          <w:bCs/>
          <w:spacing w:val="1"/>
          <w:sz w:val="28"/>
          <w:szCs w:val="28"/>
          <w:lang w:val="zh-CN"/>
        </w:rPr>
      </w:pPr>
    </w:p>
    <w:p>
      <w:pPr>
        <w:pStyle w:val="2"/>
        <w:rPr>
          <w:rFonts w:hint="eastAsia" w:ascii="方正仿宋_GBK" w:hAnsi="方正仿宋_GBK" w:eastAsia="方正仿宋_GBK" w:cs="方正仿宋_GBK"/>
          <w:b/>
          <w:bCs/>
          <w:spacing w:val="1"/>
          <w:sz w:val="28"/>
          <w:szCs w:val="28"/>
          <w:lang w:val="zh-CN"/>
        </w:rPr>
      </w:pPr>
    </w:p>
    <w:p>
      <w:pPr>
        <w:pStyle w:val="2"/>
        <w:rPr>
          <w:rFonts w:hint="eastAsia" w:ascii="方正仿宋_GBK" w:hAnsi="方正仿宋_GBK" w:eastAsia="方正仿宋_GBK" w:cs="方正仿宋_GBK"/>
          <w:b/>
          <w:bCs/>
          <w:spacing w:val="1"/>
          <w:sz w:val="28"/>
          <w:szCs w:val="28"/>
          <w:lang w:val="zh-CN"/>
        </w:rPr>
      </w:pPr>
      <w:r>
        <w:rPr>
          <w:rFonts w:hint="eastAsia" w:ascii="方正仿宋_GBK" w:hAnsi="方正仿宋_GBK" w:eastAsia="方正仿宋_GBK" w:cs="方正仿宋_GBK"/>
          <w:b/>
          <w:bCs/>
          <w:spacing w:val="1"/>
          <w:sz w:val="28"/>
          <w:szCs w:val="28"/>
          <w:lang w:val="zh-CN"/>
        </w:rPr>
        <w:t>廉洁协议书</w:t>
      </w:r>
    </w:p>
    <w:p>
      <w:pPr>
        <w:spacing w:line="560" w:lineRule="atLeast"/>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b/>
          <w:sz w:val="28"/>
          <w:szCs w:val="28"/>
          <w:lang w:val="zh-CN"/>
        </w:rPr>
        <w:t>甲    方</w:t>
      </w:r>
      <w:r>
        <w:rPr>
          <w:rFonts w:hint="eastAsia" w:ascii="方正仿宋_GBK" w:hAnsi="方正仿宋_GBK" w:eastAsia="方正仿宋_GBK" w:cs="方正仿宋_GBK"/>
          <w:sz w:val="28"/>
          <w:szCs w:val="28"/>
          <w:lang w:val="zh-CN"/>
        </w:rPr>
        <w:t>：</w:t>
      </w:r>
      <w:r>
        <w:rPr>
          <w:rFonts w:hint="eastAsia" w:ascii="方正仿宋_GBK" w:hAnsi="方正仿宋_GBK" w:eastAsia="方正仿宋_GBK" w:cs="方正仿宋_GBK"/>
          <w:b/>
          <w:sz w:val="28"/>
          <w:szCs w:val="28"/>
          <w:lang w:val="zh-CN"/>
        </w:rPr>
        <w:t>中垦供应链管理有限公司</w:t>
      </w:r>
    </w:p>
    <w:p>
      <w:pPr>
        <w:tabs>
          <w:tab w:val="center" w:pos="4320"/>
        </w:tabs>
        <w:spacing w:line="560" w:lineRule="atLeast"/>
        <w:rPr>
          <w:rFonts w:hint="eastAsia" w:ascii="方正仿宋_GBK" w:hAnsi="方正仿宋_GBK" w:eastAsia="方正仿宋_GBK" w:cs="方正仿宋_GBK"/>
          <w:b/>
          <w:sz w:val="28"/>
          <w:szCs w:val="28"/>
          <w:lang w:val="zh-CN"/>
        </w:rPr>
      </w:pPr>
      <w:r>
        <w:rPr>
          <w:rFonts w:hint="eastAsia" w:ascii="方正仿宋_GBK" w:hAnsi="方正仿宋_GBK" w:eastAsia="方正仿宋_GBK" w:cs="方正仿宋_GBK"/>
          <w:b/>
          <w:sz w:val="28"/>
          <w:szCs w:val="28"/>
          <w:lang w:val="zh-CN"/>
        </w:rPr>
        <w:t>乙    方</w:t>
      </w:r>
      <w:r>
        <w:rPr>
          <w:rFonts w:hint="eastAsia" w:ascii="方正仿宋_GBK" w:hAnsi="方正仿宋_GBK" w:eastAsia="方正仿宋_GBK" w:cs="方正仿宋_GBK"/>
          <w:sz w:val="28"/>
          <w:szCs w:val="28"/>
          <w:lang w:val="zh-CN"/>
        </w:rPr>
        <w:t>：</w:t>
      </w:r>
    </w:p>
    <w:p>
      <w:pPr>
        <w:spacing w:line="560" w:lineRule="atLeast"/>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 xml:space="preserve">    为促使甲乙双方在《产品购销合同》的签订和履行过程中严格依法办事，防止商业贿赂，防止腐败行为发生，根据相关法律法规，经甲乙双方共同协商达成如下协议：</w:t>
      </w:r>
    </w:p>
    <w:p>
      <w:pPr>
        <w:spacing w:line="560" w:lineRule="atLeast"/>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 xml:space="preserve">    一、甲乙双方本着诚实、信用和公平、公正、公开的原则签订合同，并全面、协作地严格履行合同。</w:t>
      </w:r>
    </w:p>
    <w:p>
      <w:pPr>
        <w:spacing w:line="560" w:lineRule="atLeast"/>
        <w:rPr>
          <w:rFonts w:hint="eastAsia" w:ascii="方正仿宋_GBK" w:hAnsi="方正仿宋_GBK" w:eastAsia="方正仿宋_GBK" w:cs="方正仿宋_GBK"/>
          <w:spacing w:val="3"/>
          <w:sz w:val="28"/>
          <w:szCs w:val="28"/>
          <w:highlight w:val="white"/>
          <w:lang w:val="zh-CN"/>
        </w:rPr>
      </w:pPr>
      <w:r>
        <w:rPr>
          <w:rFonts w:hint="eastAsia" w:ascii="方正仿宋_GBK" w:hAnsi="方正仿宋_GBK" w:eastAsia="方正仿宋_GBK" w:cs="方正仿宋_GBK"/>
          <w:spacing w:val="3"/>
          <w:sz w:val="28"/>
          <w:szCs w:val="28"/>
          <w:highlight w:val="white"/>
          <w:lang w:val="zh-CN"/>
        </w:rPr>
        <w:t xml:space="preserve">    二、乙方同意，在甲乙双方的合作中，乙方工作人员违反本协议的行为无论乙方是否知情或是否经过乙方的批准或授意，乙方都对乙方工作人员的行为承担本协议约定的合同责任和法律责任。</w:t>
      </w:r>
    </w:p>
    <w:p>
      <w:pPr>
        <w:spacing w:line="560" w:lineRule="atLeast"/>
        <w:ind w:left="105"/>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pacing w:val="3"/>
          <w:sz w:val="28"/>
          <w:szCs w:val="28"/>
          <w:highlight w:val="white"/>
          <w:lang w:val="zh-CN"/>
        </w:rPr>
        <w:t xml:space="preserve">    三、乙方不得以任何形式向甲方人员及其亲属行贿获取不当利益。包括但不限于</w:t>
      </w:r>
      <w:r>
        <w:rPr>
          <w:rFonts w:hint="eastAsia" w:ascii="方正仿宋_GBK" w:hAnsi="方正仿宋_GBK" w:eastAsia="方正仿宋_GBK" w:cs="方正仿宋_GBK"/>
          <w:sz w:val="28"/>
          <w:szCs w:val="28"/>
          <w:lang w:val="zh-CN"/>
        </w:rPr>
        <w:t>回扣、赠送礼品礼金和有价证券、微信红包、宴请甲方人员、邀请甲方人员参加外出旅游、高消费娱乐（如营业性歌舞厅、夜总会等）、不健康活动（如色情服务、打麻将、斗地主等）、给甲方人员报销任何费用等。</w:t>
      </w:r>
    </w:p>
    <w:p>
      <w:pPr>
        <w:spacing w:line="560" w:lineRule="atLeast"/>
        <w:ind w:left="105"/>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 xml:space="preserve">    四、乙方不得与甲方人员合谋损害甲方公司的利益。</w:t>
      </w:r>
    </w:p>
    <w:p>
      <w:pPr>
        <w:spacing w:line="560" w:lineRule="atLeast"/>
        <w:ind w:left="105"/>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 xml:space="preserve">    </w:t>
      </w:r>
      <w:r>
        <w:rPr>
          <w:rFonts w:hint="eastAsia" w:ascii="方正仿宋_GBK" w:hAnsi="方正仿宋_GBK" w:eastAsia="方正仿宋_GBK" w:cs="方正仿宋_GBK"/>
          <w:spacing w:val="3"/>
          <w:sz w:val="28"/>
          <w:szCs w:val="28"/>
          <w:highlight w:val="white"/>
          <w:lang w:val="zh-CN"/>
        </w:rPr>
        <w:t>五、乙方或乙方工作人员违反上述第三条和第四条约定的，乙方需向甲方支付合同期内全部交易金额的10%违约金并同意甲方直接从货款中扣除，且甲方有权终止合同并追究乙方造成的经济损失及赔偿。</w:t>
      </w:r>
    </w:p>
    <w:p>
      <w:pPr>
        <w:spacing w:line="560" w:lineRule="atLeast"/>
        <w:ind w:left="105"/>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 xml:space="preserve">    六、如甲方工作人员向乙方索要回扣、好处费或提出报销费用和借钱、或向乙方介绍家属或亲友从事与甲方有关的经济活动（如材料配件供应、分包）等要求情况时，乙方应及时向甲方主管单位中垦乳业股份有限公司举报，甲方将在保密的原则下进行查证和处理，如乙方不及时报告，</w:t>
      </w:r>
      <w:r>
        <w:rPr>
          <w:rFonts w:hint="eastAsia" w:ascii="方正仿宋_GBK" w:hAnsi="方正仿宋_GBK" w:eastAsia="方正仿宋_GBK" w:cs="方正仿宋_GBK"/>
          <w:spacing w:val="3"/>
          <w:sz w:val="28"/>
          <w:szCs w:val="28"/>
          <w:highlight w:val="white"/>
          <w:lang w:val="zh-CN"/>
        </w:rPr>
        <w:t>由此造成的一切后果由乙方全部承担，且甲方有权按第五条追究乙方对甲方造成的经济损失及赔偿。</w:t>
      </w:r>
    </w:p>
    <w:p>
      <w:pPr>
        <w:spacing w:line="560" w:lineRule="atLeast"/>
        <w:ind w:left="105" w:firstLine="660"/>
        <w:rPr>
          <w:rFonts w:hint="eastAsia" w:ascii="方正仿宋_GBK" w:hAnsi="方正仿宋_GBK" w:eastAsia="方正仿宋_GBK" w:cs="方正仿宋_GBK"/>
          <w:spacing w:val="6"/>
          <w:sz w:val="28"/>
          <w:szCs w:val="28"/>
          <w:highlight w:val="white"/>
          <w:lang w:val="zh-CN"/>
        </w:rPr>
      </w:pPr>
      <w:r>
        <w:rPr>
          <w:rFonts w:hint="eastAsia" w:ascii="方正仿宋_GBK" w:hAnsi="方正仿宋_GBK" w:eastAsia="方正仿宋_GBK" w:cs="方正仿宋_GBK"/>
          <w:sz w:val="28"/>
          <w:szCs w:val="28"/>
          <w:lang w:val="zh-CN"/>
        </w:rPr>
        <w:t>七、本协议一式</w:t>
      </w:r>
      <w:r>
        <w:rPr>
          <w:rFonts w:hint="eastAsia" w:ascii="方正仿宋_GBK" w:hAnsi="方正仿宋_GBK" w:eastAsia="方正仿宋_GBK" w:cs="方正仿宋_GBK"/>
          <w:sz w:val="28"/>
          <w:szCs w:val="28"/>
        </w:rPr>
        <w:t>两</w:t>
      </w:r>
      <w:r>
        <w:rPr>
          <w:rFonts w:hint="eastAsia" w:ascii="方正仿宋_GBK" w:hAnsi="方正仿宋_GBK" w:eastAsia="方正仿宋_GBK" w:cs="方正仿宋_GBK"/>
          <w:sz w:val="28"/>
          <w:szCs w:val="28"/>
          <w:lang w:val="zh-CN"/>
        </w:rPr>
        <w:t>份，</w:t>
      </w:r>
      <w:r>
        <w:rPr>
          <w:rFonts w:hint="eastAsia" w:ascii="方正仿宋_GBK" w:hAnsi="方正仿宋_GBK" w:eastAsia="方正仿宋_GBK" w:cs="方正仿宋_GBK"/>
          <w:spacing w:val="6"/>
          <w:sz w:val="28"/>
          <w:szCs w:val="28"/>
          <w:highlight w:val="white"/>
          <w:lang w:val="zh-CN"/>
        </w:rPr>
        <w:t>双方各执</w:t>
      </w:r>
      <w:r>
        <w:rPr>
          <w:rFonts w:hint="eastAsia" w:ascii="方正仿宋_GBK" w:hAnsi="方正仿宋_GBK" w:eastAsia="方正仿宋_GBK" w:cs="方正仿宋_GBK"/>
          <w:spacing w:val="6"/>
          <w:sz w:val="28"/>
          <w:szCs w:val="28"/>
          <w:highlight w:val="white"/>
        </w:rPr>
        <w:t>一</w:t>
      </w:r>
      <w:r>
        <w:rPr>
          <w:rFonts w:hint="eastAsia" w:ascii="方正仿宋_GBK" w:hAnsi="方正仿宋_GBK" w:eastAsia="方正仿宋_GBK" w:cs="方正仿宋_GBK"/>
          <w:spacing w:val="6"/>
          <w:sz w:val="28"/>
          <w:szCs w:val="28"/>
          <w:highlight w:val="white"/>
          <w:lang w:val="zh-CN"/>
        </w:rPr>
        <w:t>份，复印件亦具有同等效力。本合同自双方签字盖章之日生效。</w:t>
      </w:r>
    </w:p>
    <w:p>
      <w:pPr>
        <w:spacing w:line="560" w:lineRule="atLeast"/>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 xml:space="preserve">甲方（盖章）：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zh-CN"/>
        </w:rPr>
        <w:t xml:space="preserve">    乙方（盖章）：                                                        </w:t>
      </w:r>
    </w:p>
    <w:p>
      <w:pPr>
        <w:spacing w:line="560" w:lineRule="atLeast"/>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 xml:space="preserve">法定代表人：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zh-CN"/>
        </w:rPr>
        <w:t xml:space="preserve">法定代表人： </w:t>
      </w:r>
    </w:p>
    <w:p>
      <w:pPr>
        <w:spacing w:line="560" w:lineRule="atLeast"/>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 xml:space="preserve">经办人（签名）：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zh-CN"/>
        </w:rPr>
        <w:t>经办人（签名）：</w:t>
      </w:r>
    </w:p>
    <w:p>
      <w:pPr>
        <w:spacing w:line="560" w:lineRule="atLeast"/>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 xml:space="preserve">联系电话：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zh-CN"/>
        </w:rPr>
        <w:t>联系电话：</w:t>
      </w:r>
    </w:p>
    <w:p>
      <w:pPr>
        <w:spacing w:line="560" w:lineRule="atLeast"/>
        <w:rPr>
          <w:rFonts w:hint="eastAsia" w:ascii="方正仿宋_GBK" w:hAnsi="方正仿宋_GBK" w:eastAsia="方正仿宋_GBK" w:cs="方正仿宋_GBK"/>
          <w:sz w:val="28"/>
          <w:szCs w:val="28"/>
        </w:rPr>
      </w:pPr>
    </w:p>
    <w:p>
      <w:pPr>
        <w:pStyle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zh-CN"/>
        </w:rPr>
        <w:t>年</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zh-CN"/>
        </w:rPr>
        <w:t>月</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zh-CN"/>
        </w:rPr>
        <w:t xml:space="preserve">日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zh-CN"/>
        </w:rPr>
        <w:t>年</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zh-CN"/>
        </w:rPr>
        <w:t>月</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zh-CN"/>
        </w:rPr>
        <w:t xml:space="preserve">日 </w:t>
      </w:r>
    </w:p>
    <w:p/>
    <w:p>
      <w:pPr>
        <w:pStyle w:val="13"/>
      </w:pPr>
    </w:p>
    <w:p/>
    <w:p>
      <w:bookmarkStart w:id="20" w:name="_GoBack"/>
      <w:bookmarkEnd w:id="20"/>
    </w:p>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lang w:eastAsia="zh-CN"/>
                            </w:rPr>
                            <w:t>—</w:t>
                          </w: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path/>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w:t>
                    </w: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r>
                      <w:rPr>
                        <w:rFonts w:hint="eastAsia"/>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6</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path/>
              <v:fill on="f" focussize="0,0"/>
              <v:stroke on="f" weight="0.5pt"/>
              <v:imagedata o:title=""/>
              <o:lock v:ext="edit" aspectratio="f"/>
              <v:textbox inset="0mm,0mm,0mm,0mm" style="mso-fit-shape-to-text:t;">
                <w:txbxContent>
                  <w:p>
                    <w:pPr>
                      <w:pStyle w:val="4"/>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6</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0"/>
      </w:pBdr>
      <w:rPr>
        <w:rFonts w:hint="eastAsia" w:ascii="微软雅黑" w:hAnsi="微软雅黑" w:eastAsia="微软雅黑"/>
        <w:sz w:val="24"/>
      </w:rPr>
    </w:pPr>
    <w:r>
      <w:rPr>
        <w:rFonts w:hint="eastAsia" w:ascii="微软雅黑" w:hAnsi="微软雅黑" w:eastAsia="微软雅黑"/>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7A62BF"/>
    <w:multiLevelType w:val="singleLevel"/>
    <w:tmpl w:val="D47A62BF"/>
    <w:lvl w:ilvl="0" w:tentative="0">
      <w:start w:val="8"/>
      <w:numFmt w:val="chineseCounting"/>
      <w:suff w:val="nothing"/>
      <w:lvlText w:val="（%1）"/>
      <w:lvlJc w:val="left"/>
      <w:rPr>
        <w:rFonts w:hint="eastAsia"/>
      </w:rPr>
    </w:lvl>
  </w:abstractNum>
  <w:abstractNum w:abstractNumId="1">
    <w:nsid w:val="13A55AD2"/>
    <w:multiLevelType w:val="multilevel"/>
    <w:tmpl w:val="13A55AD2"/>
    <w:lvl w:ilvl="0" w:tentative="0">
      <w:start w:val="1"/>
      <w:numFmt w:val="japaneseCounting"/>
      <w:lvlText w:val="（%1）"/>
      <w:lvlJc w:val="left"/>
      <w:pPr>
        <w:ind w:left="1006" w:hanging="765"/>
      </w:pPr>
      <w:rPr>
        <w:rFonts w:hint="default"/>
      </w:rPr>
    </w:lvl>
    <w:lvl w:ilvl="1" w:tentative="0">
      <w:start w:val="1"/>
      <w:numFmt w:val="lowerLetter"/>
      <w:lvlText w:val="%2)"/>
      <w:lvlJc w:val="left"/>
      <w:pPr>
        <w:ind w:left="1081" w:hanging="420"/>
      </w:p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abstractNum w:abstractNumId="2">
    <w:nsid w:val="343E8AA1"/>
    <w:multiLevelType w:val="singleLevel"/>
    <w:tmpl w:val="343E8AA1"/>
    <w:lvl w:ilvl="0" w:tentative="0">
      <w:start w:val="1"/>
      <w:numFmt w:val="decimal"/>
      <w:suff w:val="space"/>
      <w:lvlText w:val="%1."/>
      <w:lvlJc w:val="left"/>
    </w:lvl>
  </w:abstractNum>
  <w:abstractNum w:abstractNumId="3">
    <w:nsid w:val="54BF3C5B"/>
    <w:multiLevelType w:val="singleLevel"/>
    <w:tmpl w:val="54BF3C5B"/>
    <w:lvl w:ilvl="0" w:tentative="0">
      <w:start w:val="4"/>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ZTY4MWFmMDZkOTJiMTU1M2U0MGYyM2FkMjFlZDYifQ=="/>
  </w:docVars>
  <w:rsids>
    <w:rsidRoot w:val="00000000"/>
    <w:rsid w:val="04565DD3"/>
    <w:rsid w:val="053E389B"/>
    <w:rsid w:val="0A5F0052"/>
    <w:rsid w:val="0B6A13CE"/>
    <w:rsid w:val="0C9126ED"/>
    <w:rsid w:val="0D9B1472"/>
    <w:rsid w:val="0FC56C48"/>
    <w:rsid w:val="10CB0B30"/>
    <w:rsid w:val="133313C5"/>
    <w:rsid w:val="13CC3709"/>
    <w:rsid w:val="13EA2B95"/>
    <w:rsid w:val="18A67836"/>
    <w:rsid w:val="18F53FE2"/>
    <w:rsid w:val="1A85718B"/>
    <w:rsid w:val="1AE40BE9"/>
    <w:rsid w:val="1C4D094F"/>
    <w:rsid w:val="1C6407FE"/>
    <w:rsid w:val="1D625D74"/>
    <w:rsid w:val="1EA134F6"/>
    <w:rsid w:val="1EB159C6"/>
    <w:rsid w:val="1F4D0186"/>
    <w:rsid w:val="1FD91C5F"/>
    <w:rsid w:val="21047499"/>
    <w:rsid w:val="2177334D"/>
    <w:rsid w:val="2183127D"/>
    <w:rsid w:val="22973339"/>
    <w:rsid w:val="234B4987"/>
    <w:rsid w:val="24830CBB"/>
    <w:rsid w:val="24E31D16"/>
    <w:rsid w:val="25863887"/>
    <w:rsid w:val="26864940"/>
    <w:rsid w:val="28935045"/>
    <w:rsid w:val="28BA4159"/>
    <w:rsid w:val="299955B3"/>
    <w:rsid w:val="2A4521EB"/>
    <w:rsid w:val="2C051E92"/>
    <w:rsid w:val="2D2F425E"/>
    <w:rsid w:val="33522CFF"/>
    <w:rsid w:val="35914DF7"/>
    <w:rsid w:val="38206A52"/>
    <w:rsid w:val="3B4E428D"/>
    <w:rsid w:val="3B572470"/>
    <w:rsid w:val="3C580799"/>
    <w:rsid w:val="3F8267CE"/>
    <w:rsid w:val="407F5F5D"/>
    <w:rsid w:val="413B1A45"/>
    <w:rsid w:val="43FF3042"/>
    <w:rsid w:val="446D0858"/>
    <w:rsid w:val="473B7CE9"/>
    <w:rsid w:val="48F90C26"/>
    <w:rsid w:val="4BD25B88"/>
    <w:rsid w:val="51BA3A80"/>
    <w:rsid w:val="51D978F4"/>
    <w:rsid w:val="51F51659"/>
    <w:rsid w:val="52652706"/>
    <w:rsid w:val="563D0F9A"/>
    <w:rsid w:val="5A132261"/>
    <w:rsid w:val="5AE9680C"/>
    <w:rsid w:val="5C146CD4"/>
    <w:rsid w:val="5D652845"/>
    <w:rsid w:val="5E7C15F7"/>
    <w:rsid w:val="5F82163B"/>
    <w:rsid w:val="5FED3FFF"/>
    <w:rsid w:val="60C5413A"/>
    <w:rsid w:val="64F45FE2"/>
    <w:rsid w:val="67CE5E44"/>
    <w:rsid w:val="680C4424"/>
    <w:rsid w:val="683F0EB2"/>
    <w:rsid w:val="6A1A4676"/>
    <w:rsid w:val="6A370827"/>
    <w:rsid w:val="70352226"/>
    <w:rsid w:val="7244313F"/>
    <w:rsid w:val="72E47057"/>
    <w:rsid w:val="73425A6C"/>
    <w:rsid w:val="739A4138"/>
    <w:rsid w:val="756F0165"/>
    <w:rsid w:val="75C164B8"/>
    <w:rsid w:val="7D773428"/>
    <w:rsid w:val="7DC105DA"/>
    <w:rsid w:val="7E964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3"/>
    <w:next w:val="1"/>
    <w:uiPriority w:val="0"/>
    <w:pPr>
      <w:tabs>
        <w:tab w:val="center" w:pos="4153"/>
        <w:tab w:val="right" w:pos="8306"/>
      </w:tabs>
      <w:spacing w:before="500" w:beforeLines="0" w:after="260" w:afterLines="0" w:line="560" w:lineRule="atLeast"/>
    </w:p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unhideWhenUsed/>
    <w:qFormat/>
    <w:uiPriority w:val="0"/>
    <w:pPr>
      <w:tabs>
        <w:tab w:val="center" w:pos="4153"/>
        <w:tab w:val="right" w:pos="8306"/>
      </w:tabs>
      <w:snapToGrid w:val="0"/>
      <w:jc w:val="left"/>
    </w:pPr>
    <w:rPr>
      <w:kern w:val="0"/>
      <w:sz w:val="18"/>
      <w:szCs w:val="18"/>
    </w:rPr>
  </w:style>
  <w:style w:type="character" w:styleId="7">
    <w:name w:val="Hyperlink"/>
    <w:uiPriority w:val="0"/>
    <w:rPr>
      <w:color w:val="0000FF"/>
      <w:u w:val="single"/>
    </w:rPr>
  </w:style>
  <w:style w:type="character" w:customStyle="1" w:styleId="8">
    <w:name w:val="font41"/>
    <w:uiPriority w:val="0"/>
    <w:rPr>
      <w:rFonts w:hint="eastAsia" w:ascii="方正仿宋_GBK" w:hAnsi="方正仿宋_GBK" w:eastAsia="方正仿宋_GBK" w:cs="方正仿宋_GBK"/>
      <w:color w:val="000000"/>
      <w:sz w:val="28"/>
      <w:szCs w:val="28"/>
      <w:u w:val="none"/>
    </w:rPr>
  </w:style>
  <w:style w:type="character" w:customStyle="1" w:styleId="9">
    <w:name w:val="font31"/>
    <w:basedOn w:val="6"/>
    <w:uiPriority w:val="0"/>
    <w:rPr>
      <w:rFonts w:hint="eastAsia" w:ascii="方正仿宋_GBK" w:hAnsi="方正仿宋_GBK" w:eastAsia="方正仿宋_GBK" w:cs="方正仿宋_GBK"/>
      <w:color w:val="000000"/>
      <w:sz w:val="28"/>
      <w:szCs w:val="28"/>
      <w:u w:val="none"/>
    </w:rPr>
  </w:style>
  <w:style w:type="character" w:customStyle="1" w:styleId="10">
    <w:name w:val="font01"/>
    <w:uiPriority w:val="0"/>
    <w:rPr>
      <w:rFonts w:hint="eastAsia" w:ascii="方正仿宋_GBK" w:hAnsi="方正仿宋_GBK" w:eastAsia="方正仿宋_GBK" w:cs="方正仿宋_GBK"/>
      <w:color w:val="000000"/>
      <w:sz w:val="21"/>
      <w:szCs w:val="21"/>
      <w:u w:val="none"/>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font21"/>
    <w:basedOn w:val="6"/>
    <w:uiPriority w:val="0"/>
    <w:rPr>
      <w:rFonts w:hint="eastAsia" w:ascii="方正仿宋_GBK" w:hAnsi="方正仿宋_GBK" w:eastAsia="方正仿宋_GBK" w:cs="方正仿宋_GBK"/>
      <w:color w:val="000000"/>
      <w:sz w:val="28"/>
      <w:szCs w:val="28"/>
      <w:u w:val="none"/>
    </w:rPr>
  </w:style>
  <w:style w:type="paragraph" w:customStyle="1" w:styleId="13">
    <w:name w:val="5-正文"/>
    <w:basedOn w:val="1"/>
    <w:qFormat/>
    <w:uiPriority w:val="0"/>
    <w:pPr>
      <w:spacing w:line="600" w:lineRule="exact"/>
      <w:ind w:firstLine="420" w:firstLineChars="200"/>
    </w:pPr>
    <w:rPr>
      <w:rFonts w:hint="default" w:ascii="Times New Roman" w:hAnsi="Times New Roman" w:eastAsia="方正仿宋_GBK"/>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2022-12-23T13:17:00Z</dcterms:created>
  <dc:creator>工作</dc:creator>
  <cp:lastModifiedBy>供应链顾蕾</cp:lastModifiedBy>
  <dcterms:modified xsi:type="dcterms:W3CDTF">2023-02-27T01:59:25Z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4DC1B94F337B45D8827B8DB4192E63E6</vt:lpwstr>
  </property>
</Properties>
</file>